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3586A" w14:textId="77777777" w:rsidR="003C2F23" w:rsidRDefault="005E1E4C" w:rsidP="00A8589D">
      <w:pPr>
        <w:pStyle w:val="Subtitle"/>
        <w:rPr>
          <w:rFonts w:ascii="Times New Roman" w:hAnsi="Times New Roman" w:cs="Times New Roman"/>
          <w:b/>
          <w:i w:val="0"/>
        </w:rPr>
      </w:pPr>
      <w:r>
        <w:rPr>
          <w:rFonts w:ascii="Times New Roman" w:hAnsi="Times New Roman" w:cs="Times New Roman"/>
          <w:b/>
          <w:i w:val="0"/>
        </w:rPr>
        <w:t>HOLOCENE SETTLEMENT</w:t>
      </w:r>
      <w:r w:rsidR="003C2F23" w:rsidRPr="003C2F23">
        <w:rPr>
          <w:rFonts w:ascii="Times New Roman" w:hAnsi="Times New Roman" w:cs="Times New Roman"/>
          <w:b/>
          <w:i w:val="0"/>
        </w:rPr>
        <w:t xml:space="preserve"> </w:t>
      </w:r>
      <w:r>
        <w:rPr>
          <w:rFonts w:ascii="Times New Roman" w:hAnsi="Times New Roman" w:cs="Times New Roman"/>
          <w:b/>
          <w:i w:val="0"/>
        </w:rPr>
        <w:t>HISTORY OF THE</w:t>
      </w:r>
      <w:r w:rsidR="003C2F23" w:rsidRPr="003C2F23">
        <w:rPr>
          <w:rFonts w:ascii="Times New Roman" w:hAnsi="Times New Roman" w:cs="Times New Roman"/>
          <w:b/>
          <w:i w:val="0"/>
        </w:rPr>
        <w:t xml:space="preserve"> </w:t>
      </w:r>
      <w:r>
        <w:rPr>
          <w:rFonts w:ascii="Times New Roman" w:hAnsi="Times New Roman" w:cs="Times New Roman"/>
          <w:b/>
          <w:i w:val="0"/>
        </w:rPr>
        <w:t xml:space="preserve">DUNDAS </w:t>
      </w:r>
      <w:r w:rsidR="0047552F">
        <w:rPr>
          <w:rFonts w:ascii="Times New Roman" w:hAnsi="Times New Roman" w:cs="Times New Roman"/>
          <w:b/>
          <w:i w:val="0"/>
        </w:rPr>
        <w:t xml:space="preserve">ISLANDS </w:t>
      </w:r>
      <w:r>
        <w:rPr>
          <w:rFonts w:ascii="Times New Roman" w:hAnsi="Times New Roman" w:cs="Times New Roman"/>
          <w:b/>
          <w:i w:val="0"/>
        </w:rPr>
        <w:t>ARCHIPELAGO</w:t>
      </w:r>
      <w:r w:rsidR="003C2F23" w:rsidRPr="003C2F23">
        <w:rPr>
          <w:rFonts w:ascii="Times New Roman" w:hAnsi="Times New Roman" w:cs="Times New Roman"/>
          <w:b/>
          <w:i w:val="0"/>
        </w:rPr>
        <w:t xml:space="preserve">, </w:t>
      </w:r>
      <w:r>
        <w:rPr>
          <w:rFonts w:ascii="Times New Roman" w:hAnsi="Times New Roman" w:cs="Times New Roman"/>
          <w:b/>
          <w:i w:val="0"/>
        </w:rPr>
        <w:t>NORTHERN BRITISH COLUMBIA</w:t>
      </w:r>
    </w:p>
    <w:p w14:paraId="1B83A6F0" w14:textId="77777777" w:rsidR="005E1E4C" w:rsidRPr="005E1E4C" w:rsidRDefault="005E1E4C" w:rsidP="005E1E4C"/>
    <w:p w14:paraId="24A80328" w14:textId="59E1F26E" w:rsidR="00A8589D" w:rsidRDefault="005E1E4C" w:rsidP="00A8589D">
      <w:pPr>
        <w:pStyle w:val="Subtitle"/>
        <w:rPr>
          <w:rFonts w:ascii="Times New Roman" w:hAnsi="Times New Roman" w:cs="Times New Roman"/>
          <w:i w:val="0"/>
        </w:rPr>
      </w:pPr>
      <w:r>
        <w:rPr>
          <w:rFonts w:ascii="Times New Roman" w:hAnsi="Times New Roman" w:cs="Times New Roman"/>
          <w:i w:val="0"/>
        </w:rPr>
        <w:t>BRYN LETHAM</w:t>
      </w:r>
      <w:r w:rsidR="00A8589D" w:rsidRPr="005E1E4C">
        <w:rPr>
          <w:rFonts w:ascii="Times New Roman" w:hAnsi="Times New Roman" w:cs="Times New Roman"/>
          <w:i w:val="0"/>
        </w:rPr>
        <w:t xml:space="preserve">, </w:t>
      </w:r>
      <w:r>
        <w:rPr>
          <w:rFonts w:ascii="Times New Roman" w:hAnsi="Times New Roman" w:cs="Times New Roman"/>
          <w:i w:val="0"/>
        </w:rPr>
        <w:t>ANDREW MARTINDALE</w:t>
      </w:r>
      <w:r w:rsidR="00A8589D" w:rsidRPr="005E1E4C">
        <w:rPr>
          <w:rFonts w:ascii="Times New Roman" w:hAnsi="Times New Roman" w:cs="Times New Roman"/>
          <w:i w:val="0"/>
        </w:rPr>
        <w:t>,</w:t>
      </w:r>
      <w:r w:rsidR="001E4ED4">
        <w:rPr>
          <w:rFonts w:ascii="Times New Roman" w:hAnsi="Times New Roman" w:cs="Times New Roman"/>
          <w:i w:val="0"/>
        </w:rPr>
        <w:t xml:space="preserve"> DUNCAN MCLAREN,</w:t>
      </w:r>
      <w:r w:rsidR="00A8589D" w:rsidRPr="005E1E4C">
        <w:rPr>
          <w:rFonts w:ascii="Times New Roman" w:hAnsi="Times New Roman" w:cs="Times New Roman"/>
          <w:i w:val="0"/>
        </w:rPr>
        <w:t xml:space="preserve"> </w:t>
      </w:r>
      <w:r>
        <w:rPr>
          <w:rFonts w:ascii="Times New Roman" w:hAnsi="Times New Roman" w:cs="Times New Roman"/>
          <w:i w:val="0"/>
        </w:rPr>
        <w:t>THOMAS BROWN</w:t>
      </w:r>
      <w:r w:rsidR="004E0A49" w:rsidRPr="005E1E4C">
        <w:rPr>
          <w:rFonts w:ascii="Times New Roman" w:hAnsi="Times New Roman" w:cs="Times New Roman"/>
          <w:i w:val="0"/>
        </w:rPr>
        <w:t xml:space="preserve">, </w:t>
      </w:r>
      <w:r>
        <w:rPr>
          <w:rFonts w:ascii="Times New Roman" w:hAnsi="Times New Roman" w:cs="Times New Roman"/>
          <w:i w:val="0"/>
        </w:rPr>
        <w:t>KENNETH</w:t>
      </w:r>
      <w:r w:rsidR="001E4ED4">
        <w:rPr>
          <w:rFonts w:ascii="Times New Roman" w:hAnsi="Times New Roman" w:cs="Times New Roman"/>
          <w:i w:val="0"/>
        </w:rPr>
        <w:t xml:space="preserve"> M.</w:t>
      </w:r>
      <w:r>
        <w:rPr>
          <w:rFonts w:ascii="Times New Roman" w:hAnsi="Times New Roman" w:cs="Times New Roman"/>
          <w:i w:val="0"/>
        </w:rPr>
        <w:t xml:space="preserve"> AMES</w:t>
      </w:r>
      <w:r w:rsidR="00CF47D7">
        <w:rPr>
          <w:rFonts w:ascii="Times New Roman" w:hAnsi="Times New Roman" w:cs="Times New Roman"/>
          <w:i w:val="0"/>
        </w:rPr>
        <w:t>, DAVID J.W. ARCHER</w:t>
      </w:r>
      <w:r w:rsidR="007D20AF">
        <w:rPr>
          <w:rFonts w:ascii="Times New Roman" w:hAnsi="Times New Roman" w:cs="Times New Roman"/>
          <w:i w:val="0"/>
        </w:rPr>
        <w:t>, AND SUSAN MARSDEN</w:t>
      </w:r>
    </w:p>
    <w:p w14:paraId="5C8DD153" w14:textId="77777777" w:rsidR="005E1E4C" w:rsidRPr="005E1E4C" w:rsidRDefault="005E1E4C" w:rsidP="005E1E4C"/>
    <w:p w14:paraId="47A4350B" w14:textId="77777777" w:rsidR="00A66575" w:rsidRPr="00A66575" w:rsidRDefault="005E1E4C" w:rsidP="005E1E4C">
      <w:pPr>
        <w:spacing w:after="0" w:line="480" w:lineRule="auto"/>
        <w:rPr>
          <w:szCs w:val="24"/>
        </w:rPr>
      </w:pPr>
      <w:r>
        <w:rPr>
          <w:szCs w:val="24"/>
        </w:rPr>
        <w:t>INTRODUCTION</w:t>
      </w:r>
    </w:p>
    <w:p w14:paraId="0193C350" w14:textId="7F9874BB" w:rsidR="007A71A8" w:rsidRDefault="00FA70E3" w:rsidP="005E1E4C">
      <w:pPr>
        <w:spacing w:after="0" w:line="480" w:lineRule="auto"/>
        <w:ind w:firstLine="720"/>
        <w:rPr>
          <w:szCs w:val="24"/>
        </w:rPr>
      </w:pPr>
      <w:r>
        <w:rPr>
          <w:szCs w:val="24"/>
        </w:rPr>
        <w:t>A</w:t>
      </w:r>
      <w:r w:rsidR="00A66575">
        <w:rPr>
          <w:szCs w:val="24"/>
        </w:rPr>
        <w:t xml:space="preserve">rchaeological work in the traditional territory of the </w:t>
      </w:r>
      <w:r w:rsidR="008E6B96">
        <w:rPr>
          <w:szCs w:val="24"/>
        </w:rPr>
        <w:t xml:space="preserve">Northern </w:t>
      </w:r>
      <w:r w:rsidR="00A66575">
        <w:rPr>
          <w:szCs w:val="24"/>
        </w:rPr>
        <w:t>Tsimshian</w:t>
      </w:r>
      <w:r w:rsidR="008E6B96">
        <w:rPr>
          <w:rStyle w:val="FootnoteReference"/>
          <w:szCs w:val="24"/>
        </w:rPr>
        <w:footnoteReference w:id="1"/>
      </w:r>
      <w:r w:rsidR="00A66575">
        <w:rPr>
          <w:szCs w:val="24"/>
        </w:rPr>
        <w:t xml:space="preserve"> has </w:t>
      </w:r>
      <w:r w:rsidR="00683222">
        <w:rPr>
          <w:szCs w:val="24"/>
        </w:rPr>
        <w:t xml:space="preserve">predominantly </w:t>
      </w:r>
      <w:r w:rsidR="00A66575">
        <w:rPr>
          <w:szCs w:val="24"/>
        </w:rPr>
        <w:t>focused on the mainland in and around the Prince Rupert Harbour and the Skeena River (</w:t>
      </w:r>
      <w:r w:rsidR="00044FE0">
        <w:rPr>
          <w:szCs w:val="24"/>
        </w:rPr>
        <w:t xml:space="preserve">Ames 2005; </w:t>
      </w:r>
      <w:r w:rsidR="00A66575">
        <w:rPr>
          <w:szCs w:val="24"/>
        </w:rPr>
        <w:t>Ames and Martindale 2014;</w:t>
      </w:r>
      <w:r w:rsidR="008E7570">
        <w:rPr>
          <w:szCs w:val="24"/>
        </w:rPr>
        <w:t xml:space="preserve"> Archer 2001;</w:t>
      </w:r>
      <w:r w:rsidR="00A66575">
        <w:rPr>
          <w:szCs w:val="24"/>
        </w:rPr>
        <w:t xml:space="preserve"> Coupland 1988; </w:t>
      </w:r>
      <w:r w:rsidR="00C20162">
        <w:rPr>
          <w:szCs w:val="24"/>
        </w:rPr>
        <w:t xml:space="preserve">Coupland et al. 1993, 2003; </w:t>
      </w:r>
      <w:r w:rsidR="00A66575">
        <w:rPr>
          <w:szCs w:val="24"/>
        </w:rPr>
        <w:t>MacDonald and Cybulski 2001; MacDonald and Inglis 1981</w:t>
      </w:r>
      <w:r w:rsidR="0070567C">
        <w:rPr>
          <w:szCs w:val="24"/>
        </w:rPr>
        <w:t xml:space="preserve">; </w:t>
      </w:r>
      <w:r w:rsidR="005E1E4C">
        <w:rPr>
          <w:szCs w:val="24"/>
        </w:rPr>
        <w:t>but see Menzies, this volume</w:t>
      </w:r>
      <w:r w:rsidR="00A66575">
        <w:rPr>
          <w:szCs w:val="24"/>
        </w:rPr>
        <w:t xml:space="preserve">). </w:t>
      </w:r>
      <w:r w:rsidR="007A71A8">
        <w:rPr>
          <w:szCs w:val="24"/>
        </w:rPr>
        <w:t>Perhaps inspiring this research, e</w:t>
      </w:r>
      <w:r w:rsidR="00503E99">
        <w:rPr>
          <w:szCs w:val="24"/>
        </w:rPr>
        <w:t xml:space="preserve">thnographic records highlight the importance of </w:t>
      </w:r>
      <w:r w:rsidR="00874B5D">
        <w:rPr>
          <w:szCs w:val="24"/>
        </w:rPr>
        <w:t>these areas</w:t>
      </w:r>
      <w:r w:rsidR="00503E99">
        <w:rPr>
          <w:szCs w:val="24"/>
        </w:rPr>
        <w:t xml:space="preserve"> for the </w:t>
      </w:r>
      <w:r w:rsidR="008E6B96">
        <w:rPr>
          <w:szCs w:val="24"/>
        </w:rPr>
        <w:t xml:space="preserve">Northern </w:t>
      </w:r>
      <w:r w:rsidR="00503E99">
        <w:rPr>
          <w:szCs w:val="24"/>
        </w:rPr>
        <w:t>Tsimshian (</w:t>
      </w:r>
      <w:r w:rsidR="00683222">
        <w:rPr>
          <w:szCs w:val="24"/>
        </w:rPr>
        <w:t xml:space="preserve">e.g., </w:t>
      </w:r>
      <w:r w:rsidR="0070567C">
        <w:rPr>
          <w:szCs w:val="24"/>
        </w:rPr>
        <w:t xml:space="preserve">Boas 1916; Garfield 1951; </w:t>
      </w:r>
      <w:proofErr w:type="spellStart"/>
      <w:r w:rsidR="00503E99">
        <w:rPr>
          <w:szCs w:val="24"/>
        </w:rPr>
        <w:t>Halpin</w:t>
      </w:r>
      <w:proofErr w:type="spellEnd"/>
      <w:r w:rsidR="00503E99">
        <w:rPr>
          <w:szCs w:val="24"/>
        </w:rPr>
        <w:t xml:space="preserve"> and Seguin 1990</w:t>
      </w:r>
      <w:r w:rsidR="0070567C">
        <w:rPr>
          <w:szCs w:val="24"/>
        </w:rPr>
        <w:t>)</w:t>
      </w:r>
      <w:r w:rsidR="00503E99">
        <w:rPr>
          <w:szCs w:val="24"/>
        </w:rPr>
        <w:t>.</w:t>
      </w:r>
      <w:r w:rsidR="000862A3">
        <w:rPr>
          <w:szCs w:val="24"/>
        </w:rPr>
        <w:t xml:space="preserve"> Ames and Martindale (2014) </w:t>
      </w:r>
      <w:r w:rsidR="00934BA3">
        <w:rPr>
          <w:szCs w:val="24"/>
        </w:rPr>
        <w:t>argue</w:t>
      </w:r>
      <w:r w:rsidR="000862A3">
        <w:rPr>
          <w:szCs w:val="24"/>
        </w:rPr>
        <w:t xml:space="preserve"> </w:t>
      </w:r>
      <w:r w:rsidR="00AA32EC">
        <w:rPr>
          <w:szCs w:val="24"/>
        </w:rPr>
        <w:t xml:space="preserve">that the Prince Rupert Harbour </w:t>
      </w:r>
      <w:r w:rsidR="000862A3">
        <w:rPr>
          <w:szCs w:val="24"/>
        </w:rPr>
        <w:t>is a ‘flagship region’ for fisher-hunter-gatherer archaeology</w:t>
      </w:r>
      <w:r w:rsidR="00AA32EC">
        <w:rPr>
          <w:szCs w:val="24"/>
        </w:rPr>
        <w:t>,</w:t>
      </w:r>
      <w:r w:rsidR="000862A3">
        <w:rPr>
          <w:szCs w:val="24"/>
        </w:rPr>
        <w:t xml:space="preserve"> </w:t>
      </w:r>
      <w:r w:rsidR="00934BA3">
        <w:rPr>
          <w:szCs w:val="24"/>
        </w:rPr>
        <w:t xml:space="preserve">partially because of </w:t>
      </w:r>
      <w:r w:rsidR="000862A3">
        <w:rPr>
          <w:szCs w:val="24"/>
        </w:rPr>
        <w:t xml:space="preserve">its high density of large village sites, many of which </w:t>
      </w:r>
      <w:r w:rsidR="00683222">
        <w:rPr>
          <w:szCs w:val="24"/>
        </w:rPr>
        <w:t xml:space="preserve">appear to have been </w:t>
      </w:r>
      <w:r w:rsidR="00934BA3">
        <w:rPr>
          <w:szCs w:val="24"/>
        </w:rPr>
        <w:t xml:space="preserve">occupied </w:t>
      </w:r>
      <w:r w:rsidR="000862A3">
        <w:rPr>
          <w:szCs w:val="24"/>
        </w:rPr>
        <w:t xml:space="preserve">contemporaneously and </w:t>
      </w:r>
      <w:r w:rsidR="00934BA3">
        <w:rPr>
          <w:szCs w:val="24"/>
        </w:rPr>
        <w:t xml:space="preserve">were likely </w:t>
      </w:r>
      <w:r w:rsidR="000862A3">
        <w:rPr>
          <w:szCs w:val="24"/>
        </w:rPr>
        <w:t xml:space="preserve">home to thousands of people. </w:t>
      </w:r>
      <w:r w:rsidR="00503E99">
        <w:rPr>
          <w:szCs w:val="24"/>
        </w:rPr>
        <w:t xml:space="preserve"> Much less attention has been paid to the “seemingly marginal insular environments” (Ames 1998:82) on the offshore periphery of </w:t>
      </w:r>
      <w:r w:rsidR="008E6B96">
        <w:rPr>
          <w:szCs w:val="24"/>
        </w:rPr>
        <w:t xml:space="preserve">Northern </w:t>
      </w:r>
      <w:r w:rsidR="00503E99">
        <w:rPr>
          <w:szCs w:val="24"/>
        </w:rPr>
        <w:t>Tsimshian territory</w:t>
      </w:r>
      <w:r w:rsidR="00683222">
        <w:rPr>
          <w:szCs w:val="24"/>
        </w:rPr>
        <w:t xml:space="preserve"> such as the Dundas </w:t>
      </w:r>
      <w:r w:rsidR="00430E44">
        <w:rPr>
          <w:szCs w:val="24"/>
        </w:rPr>
        <w:t>I</w:t>
      </w:r>
      <w:r w:rsidR="00683222">
        <w:rPr>
          <w:szCs w:val="24"/>
        </w:rPr>
        <w:t>slands</w:t>
      </w:r>
      <w:r w:rsidR="00503E99">
        <w:rPr>
          <w:szCs w:val="24"/>
        </w:rPr>
        <w:t xml:space="preserve">, </w:t>
      </w:r>
      <w:r w:rsidR="00AA32EC">
        <w:rPr>
          <w:szCs w:val="24"/>
        </w:rPr>
        <w:t>al</w:t>
      </w:r>
      <w:r w:rsidR="00503E99">
        <w:rPr>
          <w:szCs w:val="24"/>
        </w:rPr>
        <w:t xml:space="preserve">though </w:t>
      </w:r>
      <w:r w:rsidR="007A71A8">
        <w:rPr>
          <w:szCs w:val="24"/>
        </w:rPr>
        <w:t>brief forays to these islands (</w:t>
      </w:r>
      <w:r w:rsidR="00AA32EC">
        <w:rPr>
          <w:szCs w:val="24"/>
        </w:rPr>
        <w:t xml:space="preserve">e.g., </w:t>
      </w:r>
      <w:r w:rsidR="007A71A8">
        <w:rPr>
          <w:szCs w:val="24"/>
        </w:rPr>
        <w:t xml:space="preserve">Haggarty 1988) </w:t>
      </w:r>
      <w:r w:rsidR="00934BA3">
        <w:rPr>
          <w:szCs w:val="24"/>
        </w:rPr>
        <w:t xml:space="preserve">found </w:t>
      </w:r>
      <w:r w:rsidR="007A71A8">
        <w:rPr>
          <w:szCs w:val="24"/>
        </w:rPr>
        <w:t>tantalizing evidence of significant pre</w:t>
      </w:r>
      <w:r>
        <w:rPr>
          <w:szCs w:val="24"/>
        </w:rPr>
        <w:t>historic</w:t>
      </w:r>
      <w:r w:rsidR="007A71A8">
        <w:rPr>
          <w:szCs w:val="24"/>
        </w:rPr>
        <w:t xml:space="preserve"> occupation. Tsimshian oral histories</w:t>
      </w:r>
      <w:r w:rsidR="00934BA3">
        <w:rPr>
          <w:szCs w:val="24"/>
        </w:rPr>
        <w:t xml:space="preserve"> </w:t>
      </w:r>
      <w:r w:rsidR="00683222">
        <w:rPr>
          <w:szCs w:val="24"/>
        </w:rPr>
        <w:t>(</w:t>
      </w:r>
      <w:proofErr w:type="spellStart"/>
      <w:r w:rsidR="00683222" w:rsidRPr="00AA32EC">
        <w:rPr>
          <w:i/>
          <w:szCs w:val="24"/>
        </w:rPr>
        <w:t>ada</w:t>
      </w:r>
      <w:r w:rsidR="00AA32EC" w:rsidRPr="00AA32EC">
        <w:rPr>
          <w:i/>
          <w:szCs w:val="24"/>
        </w:rPr>
        <w:t>w</w:t>
      </w:r>
      <w:r w:rsidR="00683222" w:rsidRPr="00AA32EC">
        <w:rPr>
          <w:i/>
          <w:szCs w:val="24"/>
        </w:rPr>
        <w:t>x</w:t>
      </w:r>
      <w:proofErr w:type="spellEnd"/>
      <w:r w:rsidR="00683222">
        <w:rPr>
          <w:szCs w:val="24"/>
        </w:rPr>
        <w:t xml:space="preserve">) </w:t>
      </w:r>
      <w:r w:rsidR="00934BA3">
        <w:rPr>
          <w:szCs w:val="24"/>
        </w:rPr>
        <w:t>also</w:t>
      </w:r>
      <w:r w:rsidR="007A71A8">
        <w:rPr>
          <w:szCs w:val="24"/>
        </w:rPr>
        <w:t xml:space="preserve"> make specific reference to the occupation and use of the offshore islands</w:t>
      </w:r>
      <w:r w:rsidR="00AA32EC">
        <w:rPr>
          <w:szCs w:val="24"/>
        </w:rPr>
        <w:t>,</w:t>
      </w:r>
      <w:r w:rsidR="007A71A8">
        <w:rPr>
          <w:szCs w:val="24"/>
        </w:rPr>
        <w:t xml:space="preserve"> as well</w:t>
      </w:r>
      <w:r w:rsidR="00934BA3">
        <w:rPr>
          <w:szCs w:val="24"/>
        </w:rPr>
        <w:t xml:space="preserve"> </w:t>
      </w:r>
      <w:r w:rsidR="007A71A8">
        <w:rPr>
          <w:szCs w:val="24"/>
        </w:rPr>
        <w:t xml:space="preserve">as </w:t>
      </w:r>
      <w:r w:rsidR="00934BA3">
        <w:rPr>
          <w:szCs w:val="24"/>
        </w:rPr>
        <w:t xml:space="preserve">to </w:t>
      </w:r>
      <w:r w:rsidR="007A71A8">
        <w:rPr>
          <w:szCs w:val="24"/>
        </w:rPr>
        <w:t>significant events that took place there (Marsden 200</w:t>
      </w:r>
      <w:r w:rsidR="0070567C">
        <w:rPr>
          <w:szCs w:val="24"/>
        </w:rPr>
        <w:t>0</w:t>
      </w:r>
      <w:r w:rsidR="007A71A8">
        <w:rPr>
          <w:szCs w:val="24"/>
        </w:rPr>
        <w:t>).</w:t>
      </w:r>
    </w:p>
    <w:p w14:paraId="1CB87F26" w14:textId="5557535D" w:rsidR="00CF2242" w:rsidRDefault="007A71A8" w:rsidP="005E1E4C">
      <w:pPr>
        <w:spacing w:after="0" w:line="480" w:lineRule="auto"/>
        <w:ind w:firstLine="720"/>
        <w:rPr>
          <w:szCs w:val="24"/>
        </w:rPr>
      </w:pPr>
      <w:r>
        <w:rPr>
          <w:szCs w:val="24"/>
        </w:rPr>
        <w:t>The Dundas Islands Archaeological Project, initiated by Andrew Martindale</w:t>
      </w:r>
      <w:r w:rsidR="005559B0">
        <w:rPr>
          <w:szCs w:val="24"/>
        </w:rPr>
        <w:t>,</w:t>
      </w:r>
      <w:r>
        <w:rPr>
          <w:szCs w:val="24"/>
        </w:rPr>
        <w:t xml:space="preserve"> David Archer</w:t>
      </w:r>
      <w:r w:rsidR="00C67545">
        <w:rPr>
          <w:szCs w:val="24"/>
        </w:rPr>
        <w:t>,</w:t>
      </w:r>
      <w:r w:rsidR="005559B0">
        <w:rPr>
          <w:szCs w:val="24"/>
        </w:rPr>
        <w:t xml:space="preserve"> and Susan Marsden,</w:t>
      </w:r>
      <w:r w:rsidR="00C67545">
        <w:rPr>
          <w:szCs w:val="24"/>
        </w:rPr>
        <w:t xml:space="preserve"> is an interdisciplinary study of the arc</w:t>
      </w:r>
      <w:r w:rsidR="000862A3">
        <w:rPr>
          <w:szCs w:val="24"/>
        </w:rPr>
        <w:t>haeology, paleoenvironment</w:t>
      </w:r>
      <w:r w:rsidR="00934BA3">
        <w:rPr>
          <w:szCs w:val="24"/>
        </w:rPr>
        <w:t>s</w:t>
      </w:r>
      <w:r w:rsidR="00C67545">
        <w:rPr>
          <w:szCs w:val="24"/>
        </w:rPr>
        <w:t xml:space="preserve">, and </w:t>
      </w:r>
      <w:r w:rsidR="00173AEC">
        <w:rPr>
          <w:szCs w:val="24"/>
        </w:rPr>
        <w:t>I</w:t>
      </w:r>
      <w:r w:rsidR="00D00E2A">
        <w:rPr>
          <w:szCs w:val="24"/>
        </w:rPr>
        <w:t xml:space="preserve">ndigenous </w:t>
      </w:r>
      <w:r w:rsidR="00C67545">
        <w:rPr>
          <w:szCs w:val="24"/>
        </w:rPr>
        <w:t xml:space="preserve">oral history of the Dundas Island </w:t>
      </w:r>
      <w:r w:rsidR="00EE3935">
        <w:rPr>
          <w:szCs w:val="24"/>
        </w:rPr>
        <w:t>archipelago</w:t>
      </w:r>
      <w:r w:rsidR="000150CA">
        <w:rPr>
          <w:szCs w:val="24"/>
        </w:rPr>
        <w:t>, fifteen</w:t>
      </w:r>
      <w:r w:rsidR="00D00E2A">
        <w:rPr>
          <w:szCs w:val="24"/>
        </w:rPr>
        <w:t xml:space="preserve"> </w:t>
      </w:r>
      <w:proofErr w:type="spellStart"/>
      <w:r w:rsidR="005A72F3">
        <w:rPr>
          <w:szCs w:val="24"/>
        </w:rPr>
        <w:t>kilomet</w:t>
      </w:r>
      <w:r w:rsidR="00AA32EC">
        <w:rPr>
          <w:szCs w:val="24"/>
        </w:rPr>
        <w:t>re</w:t>
      </w:r>
      <w:r w:rsidR="005A72F3">
        <w:rPr>
          <w:szCs w:val="24"/>
        </w:rPr>
        <w:t>s</w:t>
      </w:r>
      <w:proofErr w:type="spellEnd"/>
      <w:r w:rsidR="00C67545">
        <w:rPr>
          <w:szCs w:val="24"/>
        </w:rPr>
        <w:t xml:space="preserve"> </w:t>
      </w:r>
      <w:r w:rsidR="00683222">
        <w:rPr>
          <w:szCs w:val="24"/>
        </w:rPr>
        <w:t xml:space="preserve">from the </w:t>
      </w:r>
      <w:r w:rsidR="00683222">
        <w:rPr>
          <w:szCs w:val="24"/>
        </w:rPr>
        <w:lastRenderedPageBreak/>
        <w:t xml:space="preserve">northerly entrance to </w:t>
      </w:r>
      <w:r w:rsidR="00C67545">
        <w:rPr>
          <w:szCs w:val="24"/>
        </w:rPr>
        <w:t xml:space="preserve">Prince Rupert Harbour (Martindale et al. 2010). This project </w:t>
      </w:r>
      <w:r w:rsidR="00934BA3">
        <w:rPr>
          <w:szCs w:val="24"/>
        </w:rPr>
        <w:t xml:space="preserve">was explicitly designed to </w:t>
      </w:r>
      <w:r w:rsidR="00C67545">
        <w:rPr>
          <w:szCs w:val="24"/>
        </w:rPr>
        <w:t xml:space="preserve">assess the record of human occupation </w:t>
      </w:r>
      <w:r w:rsidR="004E0A49">
        <w:rPr>
          <w:szCs w:val="24"/>
        </w:rPr>
        <w:t>o</w:t>
      </w:r>
      <w:r w:rsidR="00C67545">
        <w:rPr>
          <w:szCs w:val="24"/>
        </w:rPr>
        <w:t xml:space="preserve">n the offshore islands </w:t>
      </w:r>
      <w:r w:rsidR="00AA32EC">
        <w:rPr>
          <w:szCs w:val="24"/>
        </w:rPr>
        <w:t xml:space="preserve">of </w:t>
      </w:r>
      <w:r w:rsidR="008E6B96">
        <w:rPr>
          <w:szCs w:val="24"/>
        </w:rPr>
        <w:t xml:space="preserve">Northern </w:t>
      </w:r>
      <w:r w:rsidR="00C67545">
        <w:rPr>
          <w:szCs w:val="24"/>
        </w:rPr>
        <w:t xml:space="preserve">Tsimshian traditional territory in order to compare this record with </w:t>
      </w:r>
      <w:r w:rsidR="00934BA3">
        <w:rPr>
          <w:szCs w:val="24"/>
        </w:rPr>
        <w:t>the better</w:t>
      </w:r>
      <w:r w:rsidR="00AA32EC">
        <w:rPr>
          <w:szCs w:val="24"/>
        </w:rPr>
        <w:t>-</w:t>
      </w:r>
      <w:r w:rsidR="00934BA3">
        <w:rPr>
          <w:szCs w:val="24"/>
        </w:rPr>
        <w:t xml:space="preserve">known </w:t>
      </w:r>
      <w:r w:rsidR="00C67545">
        <w:rPr>
          <w:szCs w:val="24"/>
        </w:rPr>
        <w:t>mainland</w:t>
      </w:r>
      <w:r w:rsidR="00934BA3">
        <w:rPr>
          <w:szCs w:val="24"/>
        </w:rPr>
        <w:t xml:space="preserve"> record</w:t>
      </w:r>
      <w:r w:rsidR="00C67545">
        <w:rPr>
          <w:szCs w:val="24"/>
        </w:rPr>
        <w:t xml:space="preserve">. A major component of this research was a systematic survey of both </w:t>
      </w:r>
      <w:r w:rsidR="00874B5D">
        <w:rPr>
          <w:szCs w:val="24"/>
        </w:rPr>
        <w:t xml:space="preserve">the </w:t>
      </w:r>
      <w:r w:rsidR="00C67545">
        <w:rPr>
          <w:szCs w:val="24"/>
        </w:rPr>
        <w:t xml:space="preserve">modern shoreline and relict </w:t>
      </w:r>
      <w:proofErr w:type="spellStart"/>
      <w:r w:rsidR="00C67545">
        <w:rPr>
          <w:szCs w:val="24"/>
        </w:rPr>
        <w:t>paleoshorelines</w:t>
      </w:r>
      <w:proofErr w:type="spellEnd"/>
      <w:r w:rsidR="00C67545">
        <w:rPr>
          <w:szCs w:val="24"/>
        </w:rPr>
        <w:t xml:space="preserve"> for archaeological sites in order to assess the </w:t>
      </w:r>
      <w:r w:rsidR="00CF2242">
        <w:rPr>
          <w:szCs w:val="24"/>
        </w:rPr>
        <w:t>nature, scale, and intensity of occupation</w:t>
      </w:r>
      <w:r w:rsidR="0089705E">
        <w:rPr>
          <w:szCs w:val="24"/>
        </w:rPr>
        <w:t xml:space="preserve"> throughout the Holocene</w:t>
      </w:r>
      <w:r w:rsidR="00CF2242">
        <w:rPr>
          <w:szCs w:val="24"/>
        </w:rPr>
        <w:t>.</w:t>
      </w:r>
      <w:r w:rsidR="00934BA3">
        <w:rPr>
          <w:szCs w:val="24"/>
        </w:rPr>
        <w:t xml:space="preserve"> M</w:t>
      </w:r>
      <w:r w:rsidR="00CF2242">
        <w:rPr>
          <w:szCs w:val="24"/>
        </w:rPr>
        <w:t xml:space="preserve">any of these sites were radiocarbon dated to </w:t>
      </w:r>
      <w:r w:rsidR="00934BA3">
        <w:rPr>
          <w:szCs w:val="24"/>
        </w:rPr>
        <w:t>establish temporal</w:t>
      </w:r>
      <w:r w:rsidR="00CF2242">
        <w:rPr>
          <w:szCs w:val="24"/>
        </w:rPr>
        <w:t xml:space="preserve"> trends in human settlement on the Dundas Islands.</w:t>
      </w:r>
    </w:p>
    <w:p w14:paraId="6CF2994A" w14:textId="3F47432E" w:rsidR="00CF2242" w:rsidRDefault="00173AEC" w:rsidP="005E1E4C">
      <w:pPr>
        <w:spacing w:after="0" w:line="480" w:lineRule="auto"/>
        <w:ind w:firstLine="720"/>
        <w:rPr>
          <w:szCs w:val="24"/>
        </w:rPr>
      </w:pPr>
      <w:r>
        <w:rPr>
          <w:szCs w:val="24"/>
        </w:rPr>
        <w:t>As t</w:t>
      </w:r>
      <w:r w:rsidR="00BB5232">
        <w:rPr>
          <w:szCs w:val="24"/>
        </w:rPr>
        <w:t>his paper demonstrates</w:t>
      </w:r>
      <w:r>
        <w:rPr>
          <w:szCs w:val="24"/>
        </w:rPr>
        <w:t>,</w:t>
      </w:r>
      <w:r w:rsidR="00BB5232">
        <w:rPr>
          <w:szCs w:val="24"/>
        </w:rPr>
        <w:t xml:space="preserve"> t</w:t>
      </w:r>
      <w:r w:rsidR="00CF2242">
        <w:rPr>
          <w:szCs w:val="24"/>
        </w:rPr>
        <w:t xml:space="preserve">he Dundas Islands </w:t>
      </w:r>
      <w:r w:rsidR="00683222">
        <w:rPr>
          <w:szCs w:val="24"/>
        </w:rPr>
        <w:t>have</w:t>
      </w:r>
      <w:r w:rsidR="00CF2242">
        <w:rPr>
          <w:szCs w:val="24"/>
        </w:rPr>
        <w:t xml:space="preserve"> been home to humans for at least 1</w:t>
      </w:r>
      <w:r w:rsidR="00993AF4">
        <w:rPr>
          <w:szCs w:val="24"/>
        </w:rPr>
        <w:t>1</w:t>
      </w:r>
      <w:r w:rsidR="00CF2242">
        <w:rPr>
          <w:szCs w:val="24"/>
        </w:rPr>
        <w:t>,000 years</w:t>
      </w:r>
      <w:r w:rsidR="00934BA3">
        <w:rPr>
          <w:szCs w:val="24"/>
        </w:rPr>
        <w:t>. T</w:t>
      </w:r>
      <w:r w:rsidR="00CF2242">
        <w:rPr>
          <w:szCs w:val="24"/>
        </w:rPr>
        <w:t xml:space="preserve">his occupation was at times very </w:t>
      </w:r>
      <w:r w:rsidR="00F348A7">
        <w:rPr>
          <w:szCs w:val="24"/>
        </w:rPr>
        <w:t>extensive</w:t>
      </w:r>
      <w:r w:rsidR="00CF2242">
        <w:rPr>
          <w:szCs w:val="24"/>
        </w:rPr>
        <w:t>; th</w:t>
      </w:r>
      <w:r w:rsidR="00910E57">
        <w:rPr>
          <w:szCs w:val="24"/>
        </w:rPr>
        <w:t>is relatively small group of</w:t>
      </w:r>
      <w:r w:rsidR="00CF2242">
        <w:rPr>
          <w:szCs w:val="24"/>
        </w:rPr>
        <w:t xml:space="preserve"> </w:t>
      </w:r>
      <w:r w:rsidR="006708A0">
        <w:rPr>
          <w:szCs w:val="24"/>
        </w:rPr>
        <w:t xml:space="preserve">islands </w:t>
      </w:r>
      <w:r w:rsidR="00910E57">
        <w:rPr>
          <w:szCs w:val="24"/>
        </w:rPr>
        <w:t xml:space="preserve">was likely </w:t>
      </w:r>
      <w:r w:rsidR="006708A0">
        <w:rPr>
          <w:szCs w:val="24"/>
        </w:rPr>
        <w:t xml:space="preserve">home to </w:t>
      </w:r>
      <w:r w:rsidR="00CF2242">
        <w:rPr>
          <w:szCs w:val="24"/>
        </w:rPr>
        <w:t>a population of several thousand people by about 2</w:t>
      </w:r>
      <w:r w:rsidR="00727C6A">
        <w:rPr>
          <w:szCs w:val="24"/>
        </w:rPr>
        <w:t>,</w:t>
      </w:r>
      <w:r w:rsidR="00CF2242">
        <w:rPr>
          <w:szCs w:val="24"/>
        </w:rPr>
        <w:t xml:space="preserve">000 </w:t>
      </w:r>
      <w:r w:rsidR="00727C6A">
        <w:rPr>
          <w:szCs w:val="24"/>
        </w:rPr>
        <w:t>years ago</w:t>
      </w:r>
      <w:r w:rsidR="00CF2242">
        <w:rPr>
          <w:szCs w:val="24"/>
        </w:rPr>
        <w:t>.</w:t>
      </w:r>
      <w:r w:rsidR="00071525">
        <w:rPr>
          <w:szCs w:val="24"/>
        </w:rPr>
        <w:t xml:space="preserve"> </w:t>
      </w:r>
      <w:proofErr w:type="gramStart"/>
      <w:r w:rsidR="00FA70E3">
        <w:rPr>
          <w:szCs w:val="24"/>
        </w:rPr>
        <w:t>W</w:t>
      </w:r>
      <w:r w:rsidR="00CF2242">
        <w:rPr>
          <w:szCs w:val="24"/>
        </w:rPr>
        <w:t xml:space="preserve">hile geographically </w:t>
      </w:r>
      <w:r w:rsidR="00F348A7">
        <w:rPr>
          <w:szCs w:val="24"/>
        </w:rPr>
        <w:t xml:space="preserve">on the ‘outer shores’ of </w:t>
      </w:r>
      <w:r w:rsidR="008E6B96">
        <w:rPr>
          <w:szCs w:val="24"/>
        </w:rPr>
        <w:t xml:space="preserve">Northern </w:t>
      </w:r>
      <w:r w:rsidR="00071525">
        <w:rPr>
          <w:szCs w:val="24"/>
        </w:rPr>
        <w:t>Tsimshian traditional territory</w:t>
      </w:r>
      <w:r>
        <w:rPr>
          <w:szCs w:val="24"/>
        </w:rPr>
        <w:t>,</w:t>
      </w:r>
      <w:r w:rsidR="00071525">
        <w:rPr>
          <w:szCs w:val="24"/>
        </w:rPr>
        <w:t xml:space="preserve"> </w:t>
      </w:r>
      <w:r w:rsidR="00FA70E3">
        <w:rPr>
          <w:szCs w:val="24"/>
        </w:rPr>
        <w:t>these islands</w:t>
      </w:r>
      <w:r w:rsidR="004C0C4A">
        <w:rPr>
          <w:szCs w:val="24"/>
        </w:rPr>
        <w:t xml:space="preserve"> </w:t>
      </w:r>
      <w:r w:rsidR="00CF2242">
        <w:rPr>
          <w:szCs w:val="24"/>
        </w:rPr>
        <w:t>were in no way marginal as locations for settlement.</w:t>
      </w:r>
      <w:proofErr w:type="gramEnd"/>
      <w:r w:rsidR="00CF2242">
        <w:rPr>
          <w:szCs w:val="24"/>
        </w:rPr>
        <w:t xml:space="preserve"> </w:t>
      </w:r>
      <w:r w:rsidR="00F348A7">
        <w:rPr>
          <w:szCs w:val="24"/>
        </w:rPr>
        <w:t>We</w:t>
      </w:r>
      <w:r w:rsidR="00CF2242">
        <w:rPr>
          <w:szCs w:val="24"/>
        </w:rPr>
        <w:t xml:space="preserve"> </w:t>
      </w:r>
      <w:r w:rsidR="00934BA3">
        <w:rPr>
          <w:szCs w:val="24"/>
        </w:rPr>
        <w:t xml:space="preserve">outline the settlement history of the </w:t>
      </w:r>
      <w:r w:rsidR="00F348A7">
        <w:rPr>
          <w:szCs w:val="24"/>
        </w:rPr>
        <w:t xml:space="preserve">archipelago </w:t>
      </w:r>
      <w:r w:rsidR="00934BA3">
        <w:rPr>
          <w:szCs w:val="24"/>
        </w:rPr>
        <w:t>by presenting</w:t>
      </w:r>
      <w:r w:rsidR="00CF2242">
        <w:rPr>
          <w:szCs w:val="24"/>
        </w:rPr>
        <w:t xml:space="preserve"> the results of </w:t>
      </w:r>
      <w:r w:rsidR="00071525">
        <w:rPr>
          <w:szCs w:val="24"/>
        </w:rPr>
        <w:t xml:space="preserve">the </w:t>
      </w:r>
      <w:r w:rsidR="008768D9">
        <w:rPr>
          <w:szCs w:val="24"/>
        </w:rPr>
        <w:t>Dundas Islands Archaeological Project</w:t>
      </w:r>
      <w:r w:rsidR="00934BA3">
        <w:rPr>
          <w:szCs w:val="24"/>
        </w:rPr>
        <w:t xml:space="preserve">, including the radiocarbon dating program results </w:t>
      </w:r>
      <w:r w:rsidR="00071525">
        <w:rPr>
          <w:szCs w:val="24"/>
        </w:rPr>
        <w:t xml:space="preserve">combined with data from </w:t>
      </w:r>
      <w:r w:rsidR="000862A3">
        <w:rPr>
          <w:szCs w:val="24"/>
        </w:rPr>
        <w:t>three</w:t>
      </w:r>
      <w:r w:rsidR="00071525">
        <w:rPr>
          <w:szCs w:val="24"/>
        </w:rPr>
        <w:t xml:space="preserve"> previous small-scale surveys (Archer 2000; Haggarty 1988</w:t>
      </w:r>
      <w:r w:rsidR="000862A3">
        <w:rPr>
          <w:szCs w:val="24"/>
        </w:rPr>
        <w:t>; Inglis 1975</w:t>
      </w:r>
      <w:r w:rsidR="00071525">
        <w:rPr>
          <w:szCs w:val="24"/>
        </w:rPr>
        <w:t>)</w:t>
      </w:r>
      <w:r w:rsidR="00934BA3">
        <w:rPr>
          <w:szCs w:val="24"/>
        </w:rPr>
        <w:t>.</w:t>
      </w:r>
      <w:r w:rsidR="00BB5232">
        <w:rPr>
          <w:szCs w:val="24"/>
        </w:rPr>
        <w:t xml:space="preserve"> We</w:t>
      </w:r>
      <w:r w:rsidR="00071525">
        <w:rPr>
          <w:szCs w:val="24"/>
        </w:rPr>
        <w:t xml:space="preserve"> discuss different types of habitation sites </w:t>
      </w:r>
      <w:r w:rsidR="00C012DD">
        <w:rPr>
          <w:szCs w:val="24"/>
        </w:rPr>
        <w:t>and chronological trends in the</w:t>
      </w:r>
      <w:r w:rsidR="00934BA3">
        <w:rPr>
          <w:szCs w:val="24"/>
        </w:rPr>
        <w:t>ir</w:t>
      </w:r>
      <w:r w:rsidR="00C012DD">
        <w:rPr>
          <w:szCs w:val="24"/>
        </w:rPr>
        <w:t xml:space="preserve"> occupation </w:t>
      </w:r>
      <w:r w:rsidR="00F348A7">
        <w:rPr>
          <w:szCs w:val="24"/>
        </w:rPr>
        <w:t>to</w:t>
      </w:r>
      <w:r w:rsidR="00BB5232">
        <w:rPr>
          <w:szCs w:val="24"/>
        </w:rPr>
        <w:t xml:space="preserve"> </w:t>
      </w:r>
      <w:r w:rsidR="00C012DD">
        <w:rPr>
          <w:szCs w:val="24"/>
        </w:rPr>
        <w:t>argue that the Dundas Islands ha</w:t>
      </w:r>
      <w:r w:rsidR="00F348A7">
        <w:rPr>
          <w:szCs w:val="24"/>
        </w:rPr>
        <w:t>ve</w:t>
      </w:r>
      <w:r w:rsidR="00C012DD">
        <w:rPr>
          <w:szCs w:val="24"/>
        </w:rPr>
        <w:t xml:space="preserve"> been near-continuous</w:t>
      </w:r>
      <w:r w:rsidR="00934BA3">
        <w:rPr>
          <w:szCs w:val="24"/>
        </w:rPr>
        <w:t>ly</w:t>
      </w:r>
      <w:r w:rsidR="00C012DD">
        <w:rPr>
          <w:szCs w:val="24"/>
        </w:rPr>
        <w:t xml:space="preserve"> </w:t>
      </w:r>
      <w:r w:rsidR="00934BA3">
        <w:rPr>
          <w:szCs w:val="24"/>
        </w:rPr>
        <w:t xml:space="preserve">occupied </w:t>
      </w:r>
      <w:r w:rsidR="00C012DD">
        <w:rPr>
          <w:szCs w:val="24"/>
        </w:rPr>
        <w:t xml:space="preserve">for at least the </w:t>
      </w:r>
      <w:r w:rsidR="00993AF4">
        <w:rPr>
          <w:szCs w:val="24"/>
        </w:rPr>
        <w:t>entire Holocene</w:t>
      </w:r>
      <w:r w:rsidR="00C012DD">
        <w:rPr>
          <w:szCs w:val="24"/>
        </w:rPr>
        <w:t xml:space="preserve">, </w:t>
      </w:r>
      <w:r w:rsidR="00FA70E3">
        <w:rPr>
          <w:szCs w:val="24"/>
        </w:rPr>
        <w:t xml:space="preserve">and that this was </w:t>
      </w:r>
      <w:r w:rsidR="00C012DD">
        <w:rPr>
          <w:szCs w:val="24"/>
        </w:rPr>
        <w:t xml:space="preserve">central, not peripheral, to </w:t>
      </w:r>
      <w:r w:rsidR="006B6B94">
        <w:rPr>
          <w:szCs w:val="24"/>
        </w:rPr>
        <w:t>the broader history of human occupation in the region.</w:t>
      </w:r>
    </w:p>
    <w:p w14:paraId="31EF91F9" w14:textId="77777777" w:rsidR="00C71EEB" w:rsidRDefault="00C71EEB" w:rsidP="005E1E4C">
      <w:pPr>
        <w:spacing w:after="0" w:line="480" w:lineRule="auto"/>
        <w:rPr>
          <w:szCs w:val="24"/>
        </w:rPr>
      </w:pPr>
    </w:p>
    <w:p w14:paraId="4EBFD6D9" w14:textId="77777777" w:rsidR="00C71EEB" w:rsidRPr="00056DE3" w:rsidRDefault="00C71EEB" w:rsidP="005E1E4C">
      <w:pPr>
        <w:spacing w:after="0" w:line="480" w:lineRule="auto"/>
        <w:rPr>
          <w:szCs w:val="24"/>
        </w:rPr>
      </w:pPr>
      <w:r w:rsidRPr="00056DE3">
        <w:rPr>
          <w:szCs w:val="24"/>
        </w:rPr>
        <w:t>THE STUDY AREA</w:t>
      </w:r>
    </w:p>
    <w:p w14:paraId="30A2110F" w14:textId="06F1CD65" w:rsidR="00536E16" w:rsidRDefault="00C71EEB" w:rsidP="005E1E4C">
      <w:pPr>
        <w:spacing w:after="0" w:line="480" w:lineRule="auto"/>
        <w:ind w:firstLine="720"/>
        <w:rPr>
          <w:szCs w:val="24"/>
        </w:rPr>
      </w:pPr>
      <w:r>
        <w:rPr>
          <w:szCs w:val="24"/>
        </w:rPr>
        <w:t xml:space="preserve">The Dundas Islands </w:t>
      </w:r>
      <w:r w:rsidR="006757F3">
        <w:rPr>
          <w:szCs w:val="24"/>
        </w:rPr>
        <w:t>include</w:t>
      </w:r>
      <w:r>
        <w:rPr>
          <w:szCs w:val="24"/>
        </w:rPr>
        <w:t xml:space="preserve"> five main islands (</w:t>
      </w:r>
      <w:r w:rsidR="0073220A">
        <w:rPr>
          <w:szCs w:val="24"/>
        </w:rPr>
        <w:t xml:space="preserve">from northwest to southeast: </w:t>
      </w:r>
      <w:proofErr w:type="spellStart"/>
      <w:r>
        <w:rPr>
          <w:szCs w:val="24"/>
        </w:rPr>
        <w:t>Zayas</w:t>
      </w:r>
      <w:proofErr w:type="spellEnd"/>
      <w:r>
        <w:rPr>
          <w:szCs w:val="24"/>
        </w:rPr>
        <w:t xml:space="preserve">, Dundas, Baron, </w:t>
      </w:r>
      <w:proofErr w:type="spellStart"/>
      <w:r>
        <w:rPr>
          <w:szCs w:val="24"/>
        </w:rPr>
        <w:t>Dunira</w:t>
      </w:r>
      <w:proofErr w:type="spellEnd"/>
      <w:r>
        <w:rPr>
          <w:szCs w:val="24"/>
        </w:rPr>
        <w:t>, and Melville) and hundreds of other small islets</w:t>
      </w:r>
      <w:r w:rsidR="00EE3935">
        <w:rPr>
          <w:szCs w:val="24"/>
        </w:rPr>
        <w:t xml:space="preserve"> (</w:t>
      </w:r>
      <w:r w:rsidR="00EE3935" w:rsidRPr="00CB684C">
        <w:rPr>
          <w:szCs w:val="24"/>
        </w:rPr>
        <w:t>Figure</w:t>
      </w:r>
      <w:r w:rsidR="008768D9" w:rsidRPr="00CB684C">
        <w:rPr>
          <w:szCs w:val="24"/>
        </w:rPr>
        <w:t>s</w:t>
      </w:r>
      <w:r w:rsidR="00EE3935" w:rsidRPr="00CB684C">
        <w:rPr>
          <w:szCs w:val="24"/>
        </w:rPr>
        <w:t xml:space="preserve"> 1</w:t>
      </w:r>
      <w:r w:rsidR="008768D9">
        <w:rPr>
          <w:szCs w:val="24"/>
        </w:rPr>
        <w:t xml:space="preserve"> and 2</w:t>
      </w:r>
      <w:bookmarkStart w:id="0" w:name="_GoBack"/>
      <w:bookmarkEnd w:id="0"/>
      <w:r w:rsidR="00EE3935">
        <w:rPr>
          <w:szCs w:val="24"/>
        </w:rPr>
        <w:t>)</w:t>
      </w:r>
      <w:r>
        <w:rPr>
          <w:szCs w:val="24"/>
        </w:rPr>
        <w:t>.</w:t>
      </w:r>
      <w:r w:rsidR="00516945">
        <w:rPr>
          <w:szCs w:val="24"/>
        </w:rPr>
        <w:t xml:space="preserve"> They are situated at the eastern end of Dixon Entrance,</w:t>
      </w:r>
      <w:r w:rsidR="00414E49">
        <w:rPr>
          <w:szCs w:val="24"/>
        </w:rPr>
        <w:t xml:space="preserve"> southeast of the Alexander Archipelago in </w:t>
      </w:r>
      <w:r w:rsidR="00414E49">
        <w:rPr>
          <w:szCs w:val="24"/>
        </w:rPr>
        <w:lastRenderedPageBreak/>
        <w:t xml:space="preserve">southeast Alaska (see Moss, this volume), and northwest of </w:t>
      </w:r>
      <w:proofErr w:type="spellStart"/>
      <w:r w:rsidR="00414E49">
        <w:rPr>
          <w:szCs w:val="24"/>
        </w:rPr>
        <w:t>Haida</w:t>
      </w:r>
      <w:proofErr w:type="spellEnd"/>
      <w:r w:rsidR="00414E49">
        <w:rPr>
          <w:szCs w:val="24"/>
        </w:rPr>
        <w:t xml:space="preserve"> </w:t>
      </w:r>
      <w:proofErr w:type="spellStart"/>
      <w:r w:rsidR="00414E49">
        <w:rPr>
          <w:szCs w:val="24"/>
        </w:rPr>
        <w:t>Gwaii</w:t>
      </w:r>
      <w:proofErr w:type="spellEnd"/>
      <w:r w:rsidR="00414E49">
        <w:rPr>
          <w:szCs w:val="24"/>
        </w:rPr>
        <w:t>.</w:t>
      </w:r>
      <w:r w:rsidR="00EE3935">
        <w:rPr>
          <w:szCs w:val="24"/>
        </w:rPr>
        <w:t xml:space="preserve"> </w:t>
      </w:r>
      <w:r w:rsidR="00E35470">
        <w:rPr>
          <w:szCs w:val="24"/>
        </w:rPr>
        <w:t xml:space="preserve">The islands are generally low relief; the majority </w:t>
      </w:r>
      <w:r w:rsidR="00824382">
        <w:rPr>
          <w:szCs w:val="24"/>
        </w:rPr>
        <w:t xml:space="preserve">of topography is </w:t>
      </w:r>
      <w:r w:rsidR="00E35470">
        <w:rPr>
          <w:szCs w:val="24"/>
        </w:rPr>
        <w:t xml:space="preserve">less than </w:t>
      </w:r>
      <w:r w:rsidR="00727C6A">
        <w:rPr>
          <w:szCs w:val="24"/>
        </w:rPr>
        <w:t>one hundred metres above sea level</w:t>
      </w:r>
      <w:r w:rsidR="00E35470">
        <w:rPr>
          <w:szCs w:val="24"/>
        </w:rPr>
        <w:t xml:space="preserve">. </w:t>
      </w:r>
      <w:r w:rsidR="00824382">
        <w:rPr>
          <w:szCs w:val="24"/>
        </w:rPr>
        <w:t xml:space="preserve"> Extensive areas are</w:t>
      </w:r>
      <w:r w:rsidR="00E35470">
        <w:rPr>
          <w:szCs w:val="24"/>
        </w:rPr>
        <w:t xml:space="preserve"> forested with pine (</w:t>
      </w:r>
      <w:proofErr w:type="spellStart"/>
      <w:r w:rsidR="00E35470">
        <w:rPr>
          <w:i/>
          <w:szCs w:val="24"/>
        </w:rPr>
        <w:t>Pinus</w:t>
      </w:r>
      <w:proofErr w:type="spellEnd"/>
      <w:r w:rsidR="00E35470">
        <w:rPr>
          <w:i/>
          <w:szCs w:val="24"/>
        </w:rPr>
        <w:t xml:space="preserve"> </w:t>
      </w:r>
      <w:proofErr w:type="spellStart"/>
      <w:r w:rsidR="00E35470">
        <w:rPr>
          <w:i/>
          <w:szCs w:val="24"/>
        </w:rPr>
        <w:t>contorta</w:t>
      </w:r>
      <w:proofErr w:type="spellEnd"/>
      <w:r w:rsidR="00E35470">
        <w:rPr>
          <w:szCs w:val="24"/>
        </w:rPr>
        <w:t>)</w:t>
      </w:r>
      <w:r w:rsidR="004C0C4A">
        <w:rPr>
          <w:szCs w:val="24"/>
        </w:rPr>
        <w:t>,</w:t>
      </w:r>
      <w:r w:rsidR="00282063">
        <w:rPr>
          <w:szCs w:val="24"/>
        </w:rPr>
        <w:t xml:space="preserve"> </w:t>
      </w:r>
      <w:r w:rsidR="00E35470">
        <w:rPr>
          <w:szCs w:val="24"/>
        </w:rPr>
        <w:t>hemlock (</w:t>
      </w:r>
      <w:proofErr w:type="spellStart"/>
      <w:r w:rsidR="00E35470">
        <w:rPr>
          <w:i/>
          <w:szCs w:val="24"/>
        </w:rPr>
        <w:t>Tsuga</w:t>
      </w:r>
      <w:proofErr w:type="spellEnd"/>
      <w:r w:rsidR="00E35470">
        <w:rPr>
          <w:i/>
          <w:szCs w:val="24"/>
        </w:rPr>
        <w:t xml:space="preserve"> </w:t>
      </w:r>
      <w:proofErr w:type="spellStart"/>
      <w:r w:rsidR="00E35470">
        <w:rPr>
          <w:i/>
          <w:szCs w:val="24"/>
        </w:rPr>
        <w:t>heterophylla</w:t>
      </w:r>
      <w:proofErr w:type="spellEnd"/>
      <w:r w:rsidR="00E35470">
        <w:rPr>
          <w:szCs w:val="24"/>
        </w:rPr>
        <w:t>),</w:t>
      </w:r>
      <w:r w:rsidR="0073220A">
        <w:rPr>
          <w:szCs w:val="24"/>
        </w:rPr>
        <w:t xml:space="preserve"> </w:t>
      </w:r>
      <w:r w:rsidR="00E35470">
        <w:rPr>
          <w:szCs w:val="24"/>
        </w:rPr>
        <w:t>cedar (</w:t>
      </w:r>
      <w:proofErr w:type="spellStart"/>
      <w:r w:rsidR="00E35470">
        <w:rPr>
          <w:i/>
          <w:szCs w:val="24"/>
        </w:rPr>
        <w:t>Thuja</w:t>
      </w:r>
      <w:proofErr w:type="spellEnd"/>
      <w:r w:rsidR="00E35470">
        <w:rPr>
          <w:i/>
          <w:szCs w:val="24"/>
        </w:rPr>
        <w:t xml:space="preserve"> </w:t>
      </w:r>
      <w:proofErr w:type="spellStart"/>
      <w:r w:rsidR="00E35470">
        <w:rPr>
          <w:i/>
          <w:szCs w:val="24"/>
        </w:rPr>
        <w:t>plicata</w:t>
      </w:r>
      <w:proofErr w:type="spellEnd"/>
      <w:r w:rsidR="00E35470">
        <w:rPr>
          <w:i/>
          <w:szCs w:val="24"/>
        </w:rPr>
        <w:t xml:space="preserve"> </w:t>
      </w:r>
      <w:r w:rsidR="00E35470">
        <w:rPr>
          <w:szCs w:val="24"/>
        </w:rPr>
        <w:t xml:space="preserve">and </w:t>
      </w:r>
      <w:proofErr w:type="spellStart"/>
      <w:r w:rsidR="00E35470">
        <w:rPr>
          <w:i/>
          <w:szCs w:val="24"/>
        </w:rPr>
        <w:t>Callitropsis</w:t>
      </w:r>
      <w:proofErr w:type="spellEnd"/>
      <w:r w:rsidR="00E35470">
        <w:rPr>
          <w:i/>
          <w:szCs w:val="24"/>
        </w:rPr>
        <w:t xml:space="preserve"> </w:t>
      </w:r>
      <w:proofErr w:type="spellStart"/>
      <w:r w:rsidR="00E35470">
        <w:rPr>
          <w:i/>
          <w:szCs w:val="24"/>
        </w:rPr>
        <w:t>nootkatensis</w:t>
      </w:r>
      <w:proofErr w:type="spellEnd"/>
      <w:r w:rsidR="00E35470">
        <w:rPr>
          <w:szCs w:val="24"/>
        </w:rPr>
        <w:t>)</w:t>
      </w:r>
      <w:r w:rsidR="004C0C4A">
        <w:rPr>
          <w:szCs w:val="24"/>
        </w:rPr>
        <w:t>,</w:t>
      </w:r>
      <w:r w:rsidR="007E3D44">
        <w:rPr>
          <w:szCs w:val="24"/>
        </w:rPr>
        <w:t xml:space="preserve"> and </w:t>
      </w:r>
      <w:r w:rsidR="007E3D44" w:rsidRPr="003D65AB">
        <w:t>Sitka spruce (</w:t>
      </w:r>
      <w:proofErr w:type="spellStart"/>
      <w:r w:rsidR="007E3D44" w:rsidRPr="0073220A">
        <w:rPr>
          <w:i/>
        </w:rPr>
        <w:t>Picea</w:t>
      </w:r>
      <w:proofErr w:type="spellEnd"/>
      <w:r w:rsidR="007E3D44" w:rsidRPr="0073220A">
        <w:rPr>
          <w:i/>
        </w:rPr>
        <w:t xml:space="preserve"> </w:t>
      </w:r>
      <w:proofErr w:type="spellStart"/>
      <w:r w:rsidR="007E3D44" w:rsidRPr="0073220A">
        <w:rPr>
          <w:i/>
        </w:rPr>
        <w:t>sitchensis</w:t>
      </w:r>
      <w:proofErr w:type="spellEnd"/>
      <w:r w:rsidR="007E3D44" w:rsidRPr="0073220A">
        <w:t>)</w:t>
      </w:r>
      <w:r w:rsidR="00824382">
        <w:t>, and there are many large</w:t>
      </w:r>
      <w:r w:rsidR="008560EA">
        <w:t xml:space="preserve"> flat</w:t>
      </w:r>
      <w:r w:rsidR="00824382">
        <w:t xml:space="preserve"> areas of peat bog</w:t>
      </w:r>
      <w:r w:rsidR="00282063">
        <w:rPr>
          <w:szCs w:val="24"/>
        </w:rPr>
        <w:t xml:space="preserve">. </w:t>
      </w:r>
      <w:r w:rsidR="00536E16">
        <w:rPr>
          <w:szCs w:val="24"/>
        </w:rPr>
        <w:t xml:space="preserve">The shoreline is convoluted </w:t>
      </w:r>
      <w:r w:rsidR="0081558D">
        <w:rPr>
          <w:szCs w:val="24"/>
        </w:rPr>
        <w:t>with</w:t>
      </w:r>
      <w:r w:rsidR="00536E16">
        <w:rPr>
          <w:szCs w:val="24"/>
        </w:rPr>
        <w:t xml:space="preserve"> a mixture of bedrock cliffs and platforms as well as extensive intertidal sand and mud flats.</w:t>
      </w:r>
    </w:p>
    <w:p w14:paraId="54753833" w14:textId="03E7369D" w:rsidR="00536E16" w:rsidRDefault="00536E16" w:rsidP="005E1E4C">
      <w:pPr>
        <w:spacing w:after="0" w:line="480" w:lineRule="auto"/>
        <w:ind w:firstLine="720"/>
        <w:rPr>
          <w:szCs w:val="24"/>
        </w:rPr>
      </w:pPr>
      <w:r>
        <w:rPr>
          <w:szCs w:val="24"/>
        </w:rPr>
        <w:t xml:space="preserve">While not as far offshore as Haida Gwaii, the Dundas </w:t>
      </w:r>
      <w:r w:rsidR="007656A7">
        <w:rPr>
          <w:szCs w:val="24"/>
        </w:rPr>
        <w:t>Islands are</w:t>
      </w:r>
      <w:r>
        <w:rPr>
          <w:szCs w:val="24"/>
        </w:rPr>
        <w:t xml:space="preserve"> </w:t>
      </w:r>
      <w:r w:rsidR="00260B43">
        <w:rPr>
          <w:szCs w:val="24"/>
        </w:rPr>
        <w:t xml:space="preserve">exposed </w:t>
      </w:r>
      <w:r>
        <w:rPr>
          <w:szCs w:val="24"/>
        </w:rPr>
        <w:t xml:space="preserve">to </w:t>
      </w:r>
      <w:r w:rsidR="00135607">
        <w:rPr>
          <w:szCs w:val="24"/>
        </w:rPr>
        <w:t xml:space="preserve">the </w:t>
      </w:r>
      <w:r>
        <w:rPr>
          <w:szCs w:val="24"/>
        </w:rPr>
        <w:t>Pacific Ocean via Dixon Entran</w:t>
      </w:r>
      <w:r w:rsidR="0081558D">
        <w:rPr>
          <w:szCs w:val="24"/>
        </w:rPr>
        <w:t>c</w:t>
      </w:r>
      <w:r>
        <w:rPr>
          <w:szCs w:val="24"/>
        </w:rPr>
        <w:t>e to the west</w:t>
      </w:r>
      <w:r w:rsidR="00260B43">
        <w:rPr>
          <w:szCs w:val="24"/>
        </w:rPr>
        <w:t xml:space="preserve"> </w:t>
      </w:r>
      <w:r w:rsidR="00016CD3">
        <w:rPr>
          <w:szCs w:val="24"/>
        </w:rPr>
        <w:t>and Hecate Strait to the</w:t>
      </w:r>
      <w:r w:rsidR="00260B43">
        <w:rPr>
          <w:szCs w:val="24"/>
        </w:rPr>
        <w:t xml:space="preserve"> south</w:t>
      </w:r>
      <w:r>
        <w:rPr>
          <w:szCs w:val="24"/>
        </w:rPr>
        <w:t xml:space="preserve">. The western </w:t>
      </w:r>
      <w:r w:rsidR="00260B43">
        <w:rPr>
          <w:szCs w:val="24"/>
        </w:rPr>
        <w:t>coastline</w:t>
      </w:r>
      <w:r w:rsidR="008560EA">
        <w:rPr>
          <w:szCs w:val="24"/>
        </w:rPr>
        <w:t>s</w:t>
      </w:r>
      <w:r w:rsidR="00260B43">
        <w:rPr>
          <w:szCs w:val="24"/>
        </w:rPr>
        <w:t xml:space="preserve"> </w:t>
      </w:r>
      <w:r>
        <w:rPr>
          <w:szCs w:val="24"/>
        </w:rPr>
        <w:t xml:space="preserve">of the islands are exposed to </w:t>
      </w:r>
      <w:r w:rsidR="00704EAF">
        <w:rPr>
          <w:szCs w:val="24"/>
        </w:rPr>
        <w:t>Pacific</w:t>
      </w:r>
      <w:r>
        <w:rPr>
          <w:szCs w:val="24"/>
        </w:rPr>
        <w:t xml:space="preserve"> swell, </w:t>
      </w:r>
      <w:r w:rsidR="00016CD3">
        <w:rPr>
          <w:szCs w:val="24"/>
        </w:rPr>
        <w:t xml:space="preserve">with </w:t>
      </w:r>
      <w:r>
        <w:rPr>
          <w:szCs w:val="24"/>
        </w:rPr>
        <w:t xml:space="preserve">no islands </w:t>
      </w:r>
      <w:r w:rsidR="000150CA">
        <w:rPr>
          <w:szCs w:val="24"/>
        </w:rPr>
        <w:t xml:space="preserve">between them and </w:t>
      </w:r>
      <w:proofErr w:type="spellStart"/>
      <w:r w:rsidR="000150CA">
        <w:rPr>
          <w:szCs w:val="24"/>
        </w:rPr>
        <w:t>Haida</w:t>
      </w:r>
      <w:proofErr w:type="spellEnd"/>
      <w:r w:rsidR="000150CA">
        <w:rPr>
          <w:szCs w:val="24"/>
        </w:rPr>
        <w:t xml:space="preserve"> </w:t>
      </w:r>
      <w:proofErr w:type="spellStart"/>
      <w:r w:rsidR="000150CA">
        <w:rPr>
          <w:szCs w:val="24"/>
        </w:rPr>
        <w:t>Gwaii</w:t>
      </w:r>
      <w:proofErr w:type="spellEnd"/>
      <w:r w:rsidR="000150CA">
        <w:rPr>
          <w:szCs w:val="24"/>
        </w:rPr>
        <w:t>, sixty</w:t>
      </w:r>
      <w:r w:rsidR="00D00E2A">
        <w:rPr>
          <w:szCs w:val="24"/>
        </w:rPr>
        <w:t xml:space="preserve"> </w:t>
      </w:r>
      <w:proofErr w:type="spellStart"/>
      <w:r w:rsidR="00D00E2A">
        <w:rPr>
          <w:szCs w:val="24"/>
        </w:rPr>
        <w:t>kilomet</w:t>
      </w:r>
      <w:r w:rsidR="00016CD3">
        <w:rPr>
          <w:szCs w:val="24"/>
        </w:rPr>
        <w:t>re</w:t>
      </w:r>
      <w:r w:rsidR="00D00E2A">
        <w:rPr>
          <w:szCs w:val="24"/>
        </w:rPr>
        <w:t>s</w:t>
      </w:r>
      <w:proofErr w:type="spellEnd"/>
      <w:r>
        <w:rPr>
          <w:szCs w:val="24"/>
        </w:rPr>
        <w:t xml:space="preserve"> to the southwest.</w:t>
      </w:r>
      <w:r w:rsidR="00704EAF">
        <w:rPr>
          <w:szCs w:val="24"/>
        </w:rPr>
        <w:t xml:space="preserve"> This effectively makes the Dundas group an ‘outer coast’ locale, </w:t>
      </w:r>
      <w:r w:rsidR="00F13D83">
        <w:rPr>
          <w:szCs w:val="24"/>
        </w:rPr>
        <w:t>al</w:t>
      </w:r>
      <w:r w:rsidR="00704EAF">
        <w:rPr>
          <w:szCs w:val="24"/>
        </w:rPr>
        <w:t xml:space="preserve">though the passes between the islands and the many embayments along the coastlines provide shelter from the extremes associated with outer coast exposure. </w:t>
      </w:r>
      <w:r w:rsidR="00B16C63">
        <w:rPr>
          <w:szCs w:val="24"/>
        </w:rPr>
        <w:t xml:space="preserve">The islands are currently uninhabited </w:t>
      </w:r>
      <w:r w:rsidR="00016CD3">
        <w:rPr>
          <w:szCs w:val="24"/>
        </w:rPr>
        <w:t xml:space="preserve">except </w:t>
      </w:r>
      <w:r w:rsidR="00B16C63">
        <w:rPr>
          <w:szCs w:val="24"/>
        </w:rPr>
        <w:t xml:space="preserve">for a few seasonal sport fishing camps and cabins used by contemporary </w:t>
      </w:r>
      <w:r w:rsidR="008E6B96">
        <w:rPr>
          <w:szCs w:val="24"/>
        </w:rPr>
        <w:t xml:space="preserve">Northern </w:t>
      </w:r>
      <w:r w:rsidR="00B16C63">
        <w:rPr>
          <w:szCs w:val="24"/>
        </w:rPr>
        <w:t>Tsimshian from Lax</w:t>
      </w:r>
      <w:r w:rsidR="00660032">
        <w:rPr>
          <w:szCs w:val="24"/>
        </w:rPr>
        <w:t xml:space="preserve"> </w:t>
      </w:r>
      <w:proofErr w:type="spellStart"/>
      <w:r w:rsidR="00B16C63">
        <w:rPr>
          <w:szCs w:val="24"/>
        </w:rPr>
        <w:t>Kw</w:t>
      </w:r>
      <w:r w:rsidR="00660032">
        <w:rPr>
          <w:szCs w:val="24"/>
        </w:rPr>
        <w:t>’</w:t>
      </w:r>
      <w:r w:rsidR="00B16C63">
        <w:rPr>
          <w:szCs w:val="24"/>
        </w:rPr>
        <w:t>alaam</w:t>
      </w:r>
      <w:r w:rsidR="00FA70E3">
        <w:rPr>
          <w:szCs w:val="24"/>
        </w:rPr>
        <w:t>s</w:t>
      </w:r>
      <w:proofErr w:type="spellEnd"/>
      <w:r w:rsidR="00FA70E3">
        <w:rPr>
          <w:szCs w:val="24"/>
        </w:rPr>
        <w:t xml:space="preserve"> and </w:t>
      </w:r>
      <w:proofErr w:type="spellStart"/>
      <w:r w:rsidR="00FA70E3">
        <w:rPr>
          <w:szCs w:val="24"/>
        </w:rPr>
        <w:t>Metlakatla</w:t>
      </w:r>
      <w:proofErr w:type="spellEnd"/>
      <w:r w:rsidR="00336922">
        <w:rPr>
          <w:szCs w:val="24"/>
        </w:rPr>
        <w:t xml:space="preserve"> on the mainland</w:t>
      </w:r>
      <w:r w:rsidR="00B16C63">
        <w:rPr>
          <w:szCs w:val="24"/>
        </w:rPr>
        <w:t xml:space="preserve">. </w:t>
      </w:r>
      <w:r w:rsidR="00282063">
        <w:rPr>
          <w:szCs w:val="24"/>
        </w:rPr>
        <w:t>H</w:t>
      </w:r>
      <w:r w:rsidR="00B16C63">
        <w:rPr>
          <w:szCs w:val="24"/>
        </w:rPr>
        <w:t>owever, the</w:t>
      </w:r>
      <w:r w:rsidR="0081558D">
        <w:rPr>
          <w:szCs w:val="24"/>
        </w:rPr>
        <w:t>se</w:t>
      </w:r>
      <w:r w:rsidR="00B16C63">
        <w:rPr>
          <w:szCs w:val="24"/>
        </w:rPr>
        <w:t xml:space="preserve"> semi-protected</w:t>
      </w:r>
      <w:r w:rsidR="00704EAF">
        <w:rPr>
          <w:szCs w:val="24"/>
        </w:rPr>
        <w:t xml:space="preserve"> passes and </w:t>
      </w:r>
      <w:r w:rsidR="004C5D6A">
        <w:rPr>
          <w:szCs w:val="24"/>
        </w:rPr>
        <w:t>bays</w:t>
      </w:r>
      <w:r w:rsidR="00704EAF">
        <w:rPr>
          <w:szCs w:val="24"/>
        </w:rPr>
        <w:t>, along with their extensive associated intertidal zones</w:t>
      </w:r>
      <w:r w:rsidR="00016CD3">
        <w:rPr>
          <w:szCs w:val="24"/>
        </w:rPr>
        <w:t>,</w:t>
      </w:r>
      <w:r w:rsidR="00704EAF">
        <w:rPr>
          <w:szCs w:val="24"/>
        </w:rPr>
        <w:t xml:space="preserve"> provided the setting for </w:t>
      </w:r>
      <w:r w:rsidR="00340F45">
        <w:rPr>
          <w:szCs w:val="24"/>
        </w:rPr>
        <w:t xml:space="preserve">an </w:t>
      </w:r>
      <w:r w:rsidR="00704EAF">
        <w:rPr>
          <w:szCs w:val="24"/>
        </w:rPr>
        <w:t xml:space="preserve">intensive human settlement </w:t>
      </w:r>
      <w:r w:rsidR="00AD1782">
        <w:rPr>
          <w:szCs w:val="24"/>
        </w:rPr>
        <w:t xml:space="preserve">history </w:t>
      </w:r>
      <w:r w:rsidR="00704EAF">
        <w:rPr>
          <w:szCs w:val="24"/>
        </w:rPr>
        <w:t>o</w:t>
      </w:r>
      <w:r w:rsidR="00AD1782">
        <w:rPr>
          <w:szCs w:val="24"/>
        </w:rPr>
        <w:t>f</w:t>
      </w:r>
      <w:r w:rsidR="00704EAF">
        <w:rPr>
          <w:szCs w:val="24"/>
        </w:rPr>
        <w:t xml:space="preserve"> the Dundas Islands.</w:t>
      </w:r>
    </w:p>
    <w:p w14:paraId="2FF9EEDF" w14:textId="77777777" w:rsidR="0081561B" w:rsidRDefault="0081561B" w:rsidP="005E1E4C">
      <w:pPr>
        <w:spacing w:after="0" w:line="480" w:lineRule="auto"/>
        <w:rPr>
          <w:szCs w:val="24"/>
        </w:rPr>
      </w:pPr>
    </w:p>
    <w:p w14:paraId="224D9B88" w14:textId="0554FD59" w:rsidR="0081561B" w:rsidRPr="00414E49" w:rsidRDefault="0081561B" w:rsidP="005E1E4C">
      <w:pPr>
        <w:spacing w:after="0" w:line="480" w:lineRule="auto"/>
        <w:rPr>
          <w:szCs w:val="24"/>
        </w:rPr>
      </w:pPr>
      <w:r w:rsidRPr="00414E49">
        <w:rPr>
          <w:szCs w:val="24"/>
        </w:rPr>
        <w:t xml:space="preserve">SEA LEVEL HISTORY </w:t>
      </w:r>
      <w:r w:rsidR="00A25852" w:rsidRPr="00414E49">
        <w:rPr>
          <w:szCs w:val="24"/>
        </w:rPr>
        <w:t xml:space="preserve">AND </w:t>
      </w:r>
      <w:r w:rsidR="0073220A" w:rsidRPr="00414E49">
        <w:rPr>
          <w:szCs w:val="24"/>
        </w:rPr>
        <w:t>SHORELINE CHANGE</w:t>
      </w:r>
    </w:p>
    <w:p w14:paraId="165484EE" w14:textId="20DA6F19" w:rsidR="0081561B" w:rsidRDefault="0081561B" w:rsidP="005E1E4C">
      <w:pPr>
        <w:spacing w:after="0" w:line="480" w:lineRule="auto"/>
        <w:ind w:firstLine="720"/>
        <w:rPr>
          <w:szCs w:val="24"/>
        </w:rPr>
      </w:pPr>
      <w:r>
        <w:rPr>
          <w:szCs w:val="24"/>
        </w:rPr>
        <w:t>The shorelines of the Dundas Islands group have changed since the end of the Pleistocene</w:t>
      </w:r>
      <w:r w:rsidR="00377517">
        <w:rPr>
          <w:szCs w:val="24"/>
        </w:rPr>
        <w:t xml:space="preserve">, and understanding the dynamism of the coastal landscape is important </w:t>
      </w:r>
      <w:r w:rsidR="0081558D">
        <w:rPr>
          <w:szCs w:val="24"/>
        </w:rPr>
        <w:t>to</w:t>
      </w:r>
      <w:r w:rsidR="00377517">
        <w:rPr>
          <w:szCs w:val="24"/>
        </w:rPr>
        <w:t xml:space="preserve"> understanding </w:t>
      </w:r>
      <w:r w:rsidR="00AA2CB5">
        <w:rPr>
          <w:szCs w:val="24"/>
        </w:rPr>
        <w:t xml:space="preserve">the history of </w:t>
      </w:r>
      <w:r w:rsidR="00377517">
        <w:rPr>
          <w:szCs w:val="24"/>
        </w:rPr>
        <w:t>human settlement</w:t>
      </w:r>
      <w:r>
        <w:rPr>
          <w:szCs w:val="24"/>
        </w:rPr>
        <w:t>.</w:t>
      </w:r>
      <w:r w:rsidR="00C50BC8">
        <w:rPr>
          <w:szCs w:val="24"/>
        </w:rPr>
        <w:t xml:space="preserve"> </w:t>
      </w:r>
      <w:r w:rsidR="00260B5D">
        <w:rPr>
          <w:szCs w:val="24"/>
          <w:lang w:val="en-GB"/>
        </w:rPr>
        <w:t>S</w:t>
      </w:r>
      <w:r w:rsidR="00336922">
        <w:rPr>
          <w:szCs w:val="24"/>
          <w:lang w:val="en-GB"/>
        </w:rPr>
        <w:t xml:space="preserve">ea </w:t>
      </w:r>
      <w:r w:rsidR="00C50BC8" w:rsidRPr="00A66575">
        <w:rPr>
          <w:szCs w:val="24"/>
          <w:lang w:val="en-GB"/>
        </w:rPr>
        <w:t xml:space="preserve">level </w:t>
      </w:r>
      <w:r w:rsidR="00022DD3" w:rsidRPr="00A66575">
        <w:rPr>
          <w:szCs w:val="24"/>
          <w:lang w:val="en-GB"/>
        </w:rPr>
        <w:t>histor</w:t>
      </w:r>
      <w:r w:rsidR="00022DD3">
        <w:rPr>
          <w:szCs w:val="24"/>
          <w:lang w:val="en-GB"/>
        </w:rPr>
        <w:t>ies</w:t>
      </w:r>
      <w:r w:rsidR="00940C77">
        <w:rPr>
          <w:szCs w:val="24"/>
          <w:lang w:val="en-GB"/>
        </w:rPr>
        <w:t xml:space="preserve"> effectively constrain human occupation to elevations above the </w:t>
      </w:r>
      <w:r w:rsidR="00DA141A">
        <w:rPr>
          <w:szCs w:val="24"/>
          <w:lang w:val="en-GB"/>
        </w:rPr>
        <w:t>vegetation line</w:t>
      </w:r>
      <w:r w:rsidR="00260B5D">
        <w:rPr>
          <w:szCs w:val="24"/>
          <w:lang w:val="en-GB"/>
        </w:rPr>
        <w:t>, and s</w:t>
      </w:r>
      <w:r w:rsidR="00260B5D" w:rsidRPr="00A66575">
        <w:rPr>
          <w:szCs w:val="24"/>
          <w:lang w:val="en-GB"/>
        </w:rPr>
        <w:t xml:space="preserve">ince </w:t>
      </w:r>
      <w:r w:rsidR="00260B5D">
        <w:rPr>
          <w:szCs w:val="24"/>
          <w:lang w:val="en-GB"/>
        </w:rPr>
        <w:t>evidence of occupation</w:t>
      </w:r>
      <w:r w:rsidR="00260B5D" w:rsidRPr="00A66575">
        <w:rPr>
          <w:szCs w:val="24"/>
          <w:lang w:val="en-GB"/>
        </w:rPr>
        <w:t xml:space="preserve"> on the </w:t>
      </w:r>
      <w:r w:rsidR="00260B5D">
        <w:rPr>
          <w:szCs w:val="24"/>
          <w:lang w:val="en-GB"/>
        </w:rPr>
        <w:t>Northwest Coast</w:t>
      </w:r>
      <w:r w:rsidR="00260B5D" w:rsidRPr="00A66575">
        <w:rPr>
          <w:szCs w:val="24"/>
          <w:lang w:val="en-GB"/>
        </w:rPr>
        <w:t xml:space="preserve"> tend</w:t>
      </w:r>
      <w:r w:rsidR="00260B5D">
        <w:rPr>
          <w:szCs w:val="24"/>
          <w:lang w:val="en-GB"/>
        </w:rPr>
        <w:t>s</w:t>
      </w:r>
      <w:r w:rsidR="00260B5D" w:rsidRPr="00A66575">
        <w:rPr>
          <w:szCs w:val="24"/>
          <w:lang w:val="en-GB"/>
        </w:rPr>
        <w:t xml:space="preserve"> to cluster along shorelines,</w:t>
      </w:r>
      <w:r w:rsidR="00260B5D">
        <w:rPr>
          <w:szCs w:val="24"/>
          <w:lang w:val="en-GB"/>
        </w:rPr>
        <w:t xml:space="preserve"> they can provide guidance </w:t>
      </w:r>
      <w:r w:rsidR="00164901">
        <w:rPr>
          <w:szCs w:val="24"/>
          <w:lang w:val="en-GB"/>
        </w:rPr>
        <w:t>to</w:t>
      </w:r>
      <w:r w:rsidR="00260B5D">
        <w:rPr>
          <w:szCs w:val="24"/>
          <w:lang w:val="en-GB"/>
        </w:rPr>
        <w:t xml:space="preserve"> surveys for </w:t>
      </w:r>
      <w:r w:rsidR="00260B5D">
        <w:rPr>
          <w:szCs w:val="24"/>
          <w:lang w:val="en-GB"/>
        </w:rPr>
        <w:lastRenderedPageBreak/>
        <w:t>archaeological material</w:t>
      </w:r>
      <w:r w:rsidR="00022DD3" w:rsidRPr="00A66575">
        <w:rPr>
          <w:szCs w:val="24"/>
          <w:lang w:val="en-GB"/>
        </w:rPr>
        <w:t xml:space="preserve"> </w:t>
      </w:r>
      <w:r w:rsidR="00C50BC8" w:rsidRPr="00A66575">
        <w:rPr>
          <w:szCs w:val="24"/>
          <w:lang w:val="en-GB"/>
        </w:rPr>
        <w:t>(</w:t>
      </w:r>
      <w:r w:rsidR="00EA5B73">
        <w:rPr>
          <w:szCs w:val="24"/>
          <w:lang w:val="en-GB"/>
        </w:rPr>
        <w:t xml:space="preserve">Carlson and </w:t>
      </w:r>
      <w:proofErr w:type="spellStart"/>
      <w:r w:rsidR="00EA5B73">
        <w:rPr>
          <w:szCs w:val="24"/>
          <w:lang w:val="en-GB"/>
        </w:rPr>
        <w:t>Baichtal</w:t>
      </w:r>
      <w:proofErr w:type="spellEnd"/>
      <w:r w:rsidR="00EA5B73">
        <w:rPr>
          <w:szCs w:val="24"/>
          <w:lang w:val="en-GB"/>
        </w:rPr>
        <w:t xml:space="preserve"> 2015; </w:t>
      </w:r>
      <w:proofErr w:type="spellStart"/>
      <w:r w:rsidR="00C50BC8" w:rsidRPr="00A66575">
        <w:rPr>
          <w:szCs w:val="24"/>
          <w:lang w:val="en-GB"/>
        </w:rPr>
        <w:t>Fedje</w:t>
      </w:r>
      <w:proofErr w:type="spellEnd"/>
      <w:r w:rsidR="00C50BC8" w:rsidRPr="00A66575">
        <w:rPr>
          <w:szCs w:val="24"/>
          <w:lang w:val="en-GB"/>
        </w:rPr>
        <w:t xml:space="preserve"> </w:t>
      </w:r>
      <w:r w:rsidR="00142FB0">
        <w:rPr>
          <w:szCs w:val="24"/>
          <w:lang w:val="en-GB"/>
        </w:rPr>
        <w:t>et al.</w:t>
      </w:r>
      <w:r w:rsidR="00C50BC8" w:rsidRPr="00A66575">
        <w:rPr>
          <w:szCs w:val="24"/>
          <w:lang w:val="en-GB"/>
        </w:rPr>
        <w:t xml:space="preserve"> 2005; </w:t>
      </w:r>
      <w:r w:rsidR="00EC06CA">
        <w:rPr>
          <w:szCs w:val="24"/>
          <w:lang w:val="en-GB"/>
        </w:rPr>
        <w:t>Mackie et al. 2011; McLaren et al., this volume</w:t>
      </w:r>
      <w:r w:rsidR="00C50BC8" w:rsidRPr="00A66575">
        <w:rPr>
          <w:szCs w:val="24"/>
          <w:lang w:val="en-GB"/>
        </w:rPr>
        <w:t>).</w:t>
      </w:r>
      <w:r>
        <w:rPr>
          <w:szCs w:val="24"/>
        </w:rPr>
        <w:t xml:space="preserve"> Relative sea</w:t>
      </w:r>
      <w:r w:rsidR="00135607">
        <w:rPr>
          <w:szCs w:val="24"/>
        </w:rPr>
        <w:t xml:space="preserve"> </w:t>
      </w:r>
      <w:r>
        <w:rPr>
          <w:szCs w:val="24"/>
        </w:rPr>
        <w:t xml:space="preserve">levels on the Northwest Coast have changed dramatically since the </w:t>
      </w:r>
      <w:r w:rsidR="00EA5B73">
        <w:rPr>
          <w:szCs w:val="24"/>
        </w:rPr>
        <w:t xml:space="preserve">end of the </w:t>
      </w:r>
      <w:r>
        <w:rPr>
          <w:szCs w:val="24"/>
        </w:rPr>
        <w:t>last glacial maximum</w:t>
      </w:r>
      <w:r w:rsidR="00141FF2">
        <w:rPr>
          <w:szCs w:val="24"/>
        </w:rPr>
        <w:t xml:space="preserve"> (</w:t>
      </w:r>
      <w:r w:rsidR="004C5D6A">
        <w:rPr>
          <w:szCs w:val="24"/>
        </w:rPr>
        <w:t xml:space="preserve">around </w:t>
      </w:r>
      <w:r w:rsidR="00141FF2">
        <w:rPr>
          <w:szCs w:val="24"/>
        </w:rPr>
        <w:t xml:space="preserve">19,300 </w:t>
      </w:r>
      <w:proofErr w:type="spellStart"/>
      <w:r w:rsidR="00141FF2">
        <w:rPr>
          <w:szCs w:val="24"/>
        </w:rPr>
        <w:t>cal</w:t>
      </w:r>
      <w:proofErr w:type="spellEnd"/>
      <w:r w:rsidR="00EC06CA">
        <w:rPr>
          <w:szCs w:val="24"/>
        </w:rPr>
        <w:t xml:space="preserve"> </w:t>
      </w:r>
      <w:proofErr w:type="spellStart"/>
      <w:r w:rsidR="00EC06CA">
        <w:rPr>
          <w:szCs w:val="24"/>
        </w:rPr>
        <w:t>yr</w:t>
      </w:r>
      <w:proofErr w:type="spellEnd"/>
      <w:r w:rsidR="00141FF2">
        <w:rPr>
          <w:szCs w:val="24"/>
        </w:rPr>
        <w:t xml:space="preserve"> BP</w:t>
      </w:r>
      <w:r w:rsidR="00EC06CA">
        <w:rPr>
          <w:rStyle w:val="FootnoteReference"/>
          <w:szCs w:val="24"/>
        </w:rPr>
        <w:footnoteReference w:id="2"/>
      </w:r>
      <w:r w:rsidR="00141FF2">
        <w:rPr>
          <w:szCs w:val="24"/>
        </w:rPr>
        <w:t xml:space="preserve">; Blaise et al. 1990; </w:t>
      </w:r>
      <w:proofErr w:type="spellStart"/>
      <w:r w:rsidR="00141FF2">
        <w:rPr>
          <w:szCs w:val="24"/>
        </w:rPr>
        <w:t>Clague</w:t>
      </w:r>
      <w:proofErr w:type="spellEnd"/>
      <w:r w:rsidR="00141FF2">
        <w:rPr>
          <w:szCs w:val="24"/>
        </w:rPr>
        <w:t xml:space="preserve"> </w:t>
      </w:r>
      <w:r w:rsidR="00EA5B73">
        <w:rPr>
          <w:szCs w:val="24"/>
        </w:rPr>
        <w:t>et al. 1982</w:t>
      </w:r>
      <w:r w:rsidR="00141FF2">
        <w:rPr>
          <w:szCs w:val="24"/>
        </w:rPr>
        <w:t xml:space="preserve">; </w:t>
      </w:r>
      <w:r w:rsidR="00164901">
        <w:rPr>
          <w:szCs w:val="24"/>
        </w:rPr>
        <w:t xml:space="preserve">Hetherington et al. 2004; </w:t>
      </w:r>
      <w:proofErr w:type="spellStart"/>
      <w:r w:rsidR="00141FF2">
        <w:rPr>
          <w:szCs w:val="24"/>
        </w:rPr>
        <w:t>Mandryk</w:t>
      </w:r>
      <w:proofErr w:type="spellEnd"/>
      <w:r w:rsidR="00141FF2">
        <w:rPr>
          <w:szCs w:val="24"/>
        </w:rPr>
        <w:t xml:space="preserve"> et al. 2001)</w:t>
      </w:r>
      <w:r w:rsidR="0081558D">
        <w:rPr>
          <w:szCs w:val="24"/>
        </w:rPr>
        <w:t xml:space="preserve">. These sea level changes </w:t>
      </w:r>
      <w:r w:rsidR="00022DD3">
        <w:rPr>
          <w:szCs w:val="24"/>
        </w:rPr>
        <w:t>result</w:t>
      </w:r>
      <w:r w:rsidR="00414E49">
        <w:rPr>
          <w:szCs w:val="24"/>
        </w:rPr>
        <w:t>ed</w:t>
      </w:r>
      <w:r w:rsidR="00022DD3">
        <w:rPr>
          <w:szCs w:val="24"/>
        </w:rPr>
        <w:t xml:space="preserve"> from</w:t>
      </w:r>
      <w:r>
        <w:rPr>
          <w:szCs w:val="24"/>
        </w:rPr>
        <w:t xml:space="preserve"> global (</w:t>
      </w:r>
      <w:proofErr w:type="spellStart"/>
      <w:r>
        <w:rPr>
          <w:szCs w:val="24"/>
        </w:rPr>
        <w:t>eustatic</w:t>
      </w:r>
      <w:proofErr w:type="spellEnd"/>
      <w:r>
        <w:rPr>
          <w:szCs w:val="24"/>
        </w:rPr>
        <w:t xml:space="preserve">) sea level rise caused by the melting of continental ice sheets, the isostatic </w:t>
      </w:r>
      <w:r w:rsidR="00EA5B73">
        <w:rPr>
          <w:szCs w:val="24"/>
        </w:rPr>
        <w:t xml:space="preserve">readjustment </w:t>
      </w:r>
      <w:r>
        <w:rPr>
          <w:szCs w:val="24"/>
        </w:rPr>
        <w:t>of continental plates relieved of downward depression caused by these ice sheets</w:t>
      </w:r>
      <w:r w:rsidR="00EA5B73">
        <w:rPr>
          <w:szCs w:val="24"/>
        </w:rPr>
        <w:t xml:space="preserve"> or of unglaciated areas </w:t>
      </w:r>
      <w:proofErr w:type="spellStart"/>
      <w:r w:rsidR="00EA5B73">
        <w:rPr>
          <w:szCs w:val="24"/>
        </w:rPr>
        <w:t>forebulged</w:t>
      </w:r>
      <w:proofErr w:type="spellEnd"/>
      <w:r w:rsidR="00EA5B73">
        <w:rPr>
          <w:szCs w:val="24"/>
        </w:rPr>
        <w:t xml:space="preserve"> upwards by mantle material displaced outwards from beneath the ice sheets</w:t>
      </w:r>
      <w:r>
        <w:rPr>
          <w:szCs w:val="24"/>
        </w:rPr>
        <w:t>, and tectonic uplift or subsidence caused by the movement of tectonic plates against each other. Because southeast Alaska and British Columbia were covered by ice of different thicknesses in different areas</w:t>
      </w:r>
      <w:r w:rsidR="00EA5B73">
        <w:rPr>
          <w:szCs w:val="24"/>
        </w:rPr>
        <w:t xml:space="preserve"> (e.g. </w:t>
      </w:r>
      <w:proofErr w:type="spellStart"/>
      <w:r w:rsidR="00EA5B73">
        <w:rPr>
          <w:szCs w:val="24"/>
        </w:rPr>
        <w:t>Carrara</w:t>
      </w:r>
      <w:proofErr w:type="spellEnd"/>
      <w:r w:rsidR="00EA5B73">
        <w:rPr>
          <w:szCs w:val="24"/>
        </w:rPr>
        <w:t xml:space="preserve"> et al. 2007)</w:t>
      </w:r>
      <w:r>
        <w:rPr>
          <w:szCs w:val="24"/>
        </w:rPr>
        <w:t xml:space="preserve"> and because tectonic conditions and events vary from place to place, </w:t>
      </w:r>
      <w:r w:rsidR="001A2547" w:rsidRPr="001A2547">
        <w:rPr>
          <w:szCs w:val="24"/>
        </w:rPr>
        <w:t>relative sea level histories are also very localized (</w:t>
      </w:r>
      <w:proofErr w:type="spellStart"/>
      <w:r w:rsidR="001A2547" w:rsidRPr="001A2547">
        <w:rPr>
          <w:szCs w:val="24"/>
        </w:rPr>
        <w:t>Shugar</w:t>
      </w:r>
      <w:proofErr w:type="spellEnd"/>
      <w:r w:rsidR="001A2547" w:rsidRPr="001A2547">
        <w:rPr>
          <w:szCs w:val="24"/>
        </w:rPr>
        <w:t xml:space="preserve"> et al. 2014). The Dundas Islands are located between two extremes of post-glacial relative sea level impacts, close to an area hypothesized by McLaren (2008; McLaren et al. 2011) to operate as a ‘hinge’ between the </w:t>
      </w:r>
      <w:proofErr w:type="spellStart"/>
      <w:r w:rsidR="001A2547" w:rsidRPr="001A2547">
        <w:rPr>
          <w:szCs w:val="24"/>
        </w:rPr>
        <w:t>forebulged</w:t>
      </w:r>
      <w:proofErr w:type="spellEnd"/>
      <w:r w:rsidR="001A2547" w:rsidRPr="001A2547">
        <w:rPr>
          <w:szCs w:val="24"/>
        </w:rPr>
        <w:t xml:space="preserve"> outer coast and heavily depressed inner coast (McLaren et al. 2014</w:t>
      </w:r>
      <w:r w:rsidR="00625044">
        <w:rPr>
          <w:szCs w:val="24"/>
        </w:rPr>
        <w:t>; Mobley 1988:265</w:t>
      </w:r>
      <w:r w:rsidR="001A2547" w:rsidRPr="001A2547">
        <w:rPr>
          <w:szCs w:val="24"/>
        </w:rPr>
        <w:t>), making relative sea level change since the last glacial maximum less dramatic than areas to the east or west.</w:t>
      </w:r>
    </w:p>
    <w:p w14:paraId="437C4DBE" w14:textId="20A52CDF" w:rsidR="00C50BC8" w:rsidRPr="005361CF" w:rsidRDefault="00C50BC8" w:rsidP="005E1E4C">
      <w:pPr>
        <w:spacing w:after="0" w:line="480" w:lineRule="auto"/>
        <w:ind w:firstLine="720"/>
        <w:rPr>
          <w:szCs w:val="24"/>
        </w:rPr>
      </w:pPr>
      <w:r>
        <w:rPr>
          <w:szCs w:val="24"/>
        </w:rPr>
        <w:t>McLaren (2008; McLaren et al. 2011) conducted a</w:t>
      </w:r>
      <w:r w:rsidR="00336922">
        <w:rPr>
          <w:szCs w:val="24"/>
        </w:rPr>
        <w:t xml:space="preserve"> detailed study of relative sea </w:t>
      </w:r>
      <w:r>
        <w:rPr>
          <w:szCs w:val="24"/>
        </w:rPr>
        <w:t xml:space="preserve">level change on the Dundas Islands group and </w:t>
      </w:r>
      <w:r w:rsidR="0081558D">
        <w:rPr>
          <w:szCs w:val="24"/>
        </w:rPr>
        <w:t xml:space="preserve">found </w:t>
      </w:r>
      <w:r>
        <w:rPr>
          <w:szCs w:val="24"/>
        </w:rPr>
        <w:t>that relative sea</w:t>
      </w:r>
      <w:r w:rsidR="00C45B8E">
        <w:rPr>
          <w:szCs w:val="24"/>
        </w:rPr>
        <w:t xml:space="preserve"> </w:t>
      </w:r>
      <w:r>
        <w:rPr>
          <w:szCs w:val="24"/>
        </w:rPr>
        <w:t xml:space="preserve">levels </w:t>
      </w:r>
      <w:r w:rsidR="0081558D">
        <w:rPr>
          <w:szCs w:val="24"/>
        </w:rPr>
        <w:t>dropped</w:t>
      </w:r>
      <w:r>
        <w:rPr>
          <w:szCs w:val="24"/>
        </w:rPr>
        <w:t xml:space="preserve"> </w:t>
      </w:r>
      <w:r w:rsidR="00715343">
        <w:rPr>
          <w:szCs w:val="24"/>
        </w:rPr>
        <w:t>from at least 14.5</w:t>
      </w:r>
      <w:r w:rsidR="00DD22FA">
        <w:rPr>
          <w:szCs w:val="24"/>
        </w:rPr>
        <w:t xml:space="preserve"> m</w:t>
      </w:r>
      <w:r w:rsidR="00C45B8E">
        <w:rPr>
          <w:szCs w:val="24"/>
        </w:rPr>
        <w:t>etres</w:t>
      </w:r>
      <w:r w:rsidR="00DD22FA">
        <w:rPr>
          <w:szCs w:val="24"/>
        </w:rPr>
        <w:t xml:space="preserve"> ASL</w:t>
      </w:r>
      <w:r w:rsidR="00715343">
        <w:rPr>
          <w:rStyle w:val="FootnoteReference"/>
          <w:szCs w:val="24"/>
        </w:rPr>
        <w:footnoteReference w:id="3"/>
      </w:r>
      <w:r>
        <w:rPr>
          <w:szCs w:val="24"/>
        </w:rPr>
        <w:t xml:space="preserve"> </w:t>
      </w:r>
      <w:r w:rsidR="00543201">
        <w:rPr>
          <w:szCs w:val="24"/>
        </w:rPr>
        <w:t xml:space="preserve">from the end of the Pleistocene and through </w:t>
      </w:r>
      <w:r>
        <w:rPr>
          <w:szCs w:val="24"/>
        </w:rPr>
        <w:t xml:space="preserve">the entire Holocene, and, unlike many </w:t>
      </w:r>
      <w:r>
        <w:rPr>
          <w:szCs w:val="24"/>
        </w:rPr>
        <w:lastRenderedPageBreak/>
        <w:t xml:space="preserve">locations on the mainland coast, never </w:t>
      </w:r>
      <w:r w:rsidR="00BC6FB3">
        <w:rPr>
          <w:szCs w:val="24"/>
        </w:rPr>
        <w:t xml:space="preserve">fell </w:t>
      </w:r>
      <w:r>
        <w:rPr>
          <w:szCs w:val="24"/>
        </w:rPr>
        <w:t>below the current sea level</w:t>
      </w:r>
      <w:r w:rsidR="00A61503">
        <w:rPr>
          <w:szCs w:val="24"/>
        </w:rPr>
        <w:t xml:space="preserve"> (</w:t>
      </w:r>
      <w:r w:rsidR="00A61503" w:rsidRPr="00CB684C">
        <w:rPr>
          <w:szCs w:val="24"/>
        </w:rPr>
        <w:t xml:space="preserve">Figure </w:t>
      </w:r>
      <w:r w:rsidR="007416BA" w:rsidRPr="00CB684C">
        <w:rPr>
          <w:szCs w:val="24"/>
        </w:rPr>
        <w:t>3</w:t>
      </w:r>
      <w:r w:rsidR="00A61503">
        <w:rPr>
          <w:szCs w:val="24"/>
        </w:rPr>
        <w:t>)</w:t>
      </w:r>
      <w:r>
        <w:rPr>
          <w:szCs w:val="24"/>
        </w:rPr>
        <w:t>.</w:t>
      </w:r>
      <w:r w:rsidR="00A61503">
        <w:rPr>
          <w:szCs w:val="24"/>
        </w:rPr>
        <w:t xml:space="preserve"> Importantly, McLaren identified </w:t>
      </w:r>
      <w:r w:rsidR="00340F45">
        <w:rPr>
          <w:szCs w:val="24"/>
        </w:rPr>
        <w:t xml:space="preserve">a </w:t>
      </w:r>
      <w:r w:rsidR="003B15E1">
        <w:rPr>
          <w:szCs w:val="24"/>
        </w:rPr>
        <w:t xml:space="preserve">nearly </w:t>
      </w:r>
      <w:r w:rsidR="004C5D6A">
        <w:rPr>
          <w:szCs w:val="24"/>
        </w:rPr>
        <w:t>3,000</w:t>
      </w:r>
      <w:r w:rsidR="003B15E1">
        <w:rPr>
          <w:szCs w:val="24"/>
        </w:rPr>
        <w:t xml:space="preserve"> year period of</w:t>
      </w:r>
      <w:r w:rsidR="007A6E6C">
        <w:rPr>
          <w:szCs w:val="24"/>
        </w:rPr>
        <w:t xml:space="preserve"> relative</w:t>
      </w:r>
      <w:r w:rsidR="003B15E1">
        <w:rPr>
          <w:szCs w:val="24"/>
        </w:rPr>
        <w:t>ly stable</w:t>
      </w:r>
      <w:r w:rsidR="007A6E6C">
        <w:rPr>
          <w:szCs w:val="24"/>
        </w:rPr>
        <w:t xml:space="preserve"> sea</w:t>
      </w:r>
      <w:r w:rsidR="004753D5">
        <w:rPr>
          <w:szCs w:val="24"/>
        </w:rPr>
        <w:t xml:space="preserve"> </w:t>
      </w:r>
      <w:r w:rsidR="007A6E6C">
        <w:rPr>
          <w:szCs w:val="24"/>
        </w:rPr>
        <w:t xml:space="preserve">level </w:t>
      </w:r>
      <w:r w:rsidR="00715343">
        <w:rPr>
          <w:szCs w:val="24"/>
        </w:rPr>
        <w:t>at 7.5 m</w:t>
      </w:r>
      <w:r w:rsidR="00C45B8E">
        <w:rPr>
          <w:szCs w:val="24"/>
        </w:rPr>
        <w:t>etres</w:t>
      </w:r>
      <w:r w:rsidR="00715343">
        <w:rPr>
          <w:szCs w:val="24"/>
        </w:rPr>
        <w:t xml:space="preserve"> ASL </w:t>
      </w:r>
      <w:r w:rsidR="00AC3F90">
        <w:rPr>
          <w:szCs w:val="24"/>
        </w:rPr>
        <w:t xml:space="preserve">from about 8850 </w:t>
      </w:r>
      <w:proofErr w:type="spellStart"/>
      <w:r w:rsidR="00AC3F90">
        <w:rPr>
          <w:szCs w:val="24"/>
        </w:rPr>
        <w:t>cal</w:t>
      </w:r>
      <w:proofErr w:type="spellEnd"/>
      <w:r w:rsidR="00552702">
        <w:rPr>
          <w:szCs w:val="24"/>
        </w:rPr>
        <w:t xml:space="preserve"> </w:t>
      </w:r>
      <w:proofErr w:type="spellStart"/>
      <w:r w:rsidR="00552702">
        <w:rPr>
          <w:szCs w:val="24"/>
        </w:rPr>
        <w:t>yr</w:t>
      </w:r>
      <w:proofErr w:type="spellEnd"/>
      <w:r w:rsidR="00AC3F90">
        <w:rPr>
          <w:szCs w:val="24"/>
        </w:rPr>
        <w:t xml:space="preserve"> BP until </w:t>
      </w:r>
      <w:r w:rsidR="00FD19E9">
        <w:rPr>
          <w:szCs w:val="24"/>
        </w:rPr>
        <w:t xml:space="preserve">6100 </w:t>
      </w:r>
      <w:proofErr w:type="spellStart"/>
      <w:r w:rsidR="00FD19E9">
        <w:rPr>
          <w:szCs w:val="24"/>
        </w:rPr>
        <w:t>cal</w:t>
      </w:r>
      <w:proofErr w:type="spellEnd"/>
      <w:r w:rsidR="004753D5">
        <w:rPr>
          <w:szCs w:val="24"/>
        </w:rPr>
        <w:t xml:space="preserve"> </w:t>
      </w:r>
      <w:proofErr w:type="spellStart"/>
      <w:r w:rsidR="004753D5">
        <w:rPr>
          <w:szCs w:val="24"/>
        </w:rPr>
        <w:t>yr</w:t>
      </w:r>
      <w:proofErr w:type="spellEnd"/>
      <w:r w:rsidR="00FD19E9">
        <w:rPr>
          <w:szCs w:val="24"/>
        </w:rPr>
        <w:t xml:space="preserve"> BP</w:t>
      </w:r>
      <w:r w:rsidR="004158EA">
        <w:rPr>
          <w:rStyle w:val="FootnoteReference"/>
          <w:szCs w:val="24"/>
        </w:rPr>
        <w:footnoteReference w:id="4"/>
      </w:r>
      <w:r w:rsidR="006D1EBF">
        <w:rPr>
          <w:szCs w:val="24"/>
        </w:rPr>
        <w:t>.</w:t>
      </w:r>
      <w:r w:rsidR="007A6E6C">
        <w:rPr>
          <w:szCs w:val="24"/>
        </w:rPr>
        <w:t xml:space="preserve"> After this time, sea</w:t>
      </w:r>
      <w:r w:rsidR="00C45B8E">
        <w:rPr>
          <w:szCs w:val="24"/>
        </w:rPr>
        <w:t xml:space="preserve"> </w:t>
      </w:r>
      <w:r w:rsidR="007A6E6C">
        <w:rPr>
          <w:szCs w:val="24"/>
        </w:rPr>
        <w:t>level</w:t>
      </w:r>
      <w:r w:rsidR="00C45B8E">
        <w:rPr>
          <w:szCs w:val="24"/>
        </w:rPr>
        <w:t>s</w:t>
      </w:r>
      <w:r w:rsidR="007A6E6C">
        <w:rPr>
          <w:szCs w:val="24"/>
        </w:rPr>
        <w:t xml:space="preserve"> </w:t>
      </w:r>
      <w:r w:rsidR="0028618F">
        <w:rPr>
          <w:szCs w:val="24"/>
        </w:rPr>
        <w:t>dropped again</w:t>
      </w:r>
      <w:r w:rsidR="007A6E6C">
        <w:rPr>
          <w:szCs w:val="24"/>
        </w:rPr>
        <w:t>, though the overall rate declined aroun</w:t>
      </w:r>
      <w:r w:rsidR="0028618F">
        <w:rPr>
          <w:szCs w:val="24"/>
        </w:rPr>
        <w:t xml:space="preserve">d 4300 </w:t>
      </w:r>
      <w:proofErr w:type="spellStart"/>
      <w:r w:rsidR="0028618F">
        <w:rPr>
          <w:szCs w:val="24"/>
        </w:rPr>
        <w:t>cal</w:t>
      </w:r>
      <w:proofErr w:type="spellEnd"/>
      <w:r w:rsidR="005C4B9E">
        <w:rPr>
          <w:szCs w:val="24"/>
        </w:rPr>
        <w:t xml:space="preserve"> </w:t>
      </w:r>
      <w:proofErr w:type="spellStart"/>
      <w:r w:rsidR="005C4B9E">
        <w:rPr>
          <w:szCs w:val="24"/>
        </w:rPr>
        <w:t>yr</w:t>
      </w:r>
      <w:proofErr w:type="spellEnd"/>
      <w:r w:rsidR="0028618F">
        <w:rPr>
          <w:szCs w:val="24"/>
        </w:rPr>
        <w:t xml:space="preserve"> BP and relative sea</w:t>
      </w:r>
      <w:r w:rsidR="00C03226">
        <w:rPr>
          <w:szCs w:val="24"/>
        </w:rPr>
        <w:t xml:space="preserve"> </w:t>
      </w:r>
      <w:r w:rsidR="007A6E6C">
        <w:rPr>
          <w:szCs w:val="24"/>
        </w:rPr>
        <w:t xml:space="preserve">level slowly fell from </w:t>
      </w:r>
      <w:r w:rsidR="00C03226">
        <w:rPr>
          <w:szCs w:val="24"/>
        </w:rPr>
        <w:t>five metres</w:t>
      </w:r>
      <w:r w:rsidR="007A6E6C">
        <w:rPr>
          <w:szCs w:val="24"/>
        </w:rPr>
        <w:t xml:space="preserve"> ASL to its current position. </w:t>
      </w:r>
      <w:r w:rsidR="00FD19E9">
        <w:rPr>
          <w:szCs w:val="24"/>
        </w:rPr>
        <w:t xml:space="preserve">During </w:t>
      </w:r>
      <w:r w:rsidR="00543201">
        <w:rPr>
          <w:szCs w:val="24"/>
        </w:rPr>
        <w:t>periods of stability</w:t>
      </w:r>
      <w:r w:rsidR="006D1EBF">
        <w:rPr>
          <w:szCs w:val="24"/>
        </w:rPr>
        <w:t>,</w:t>
      </w:r>
      <w:r w:rsidR="00AC3F90">
        <w:rPr>
          <w:szCs w:val="24"/>
        </w:rPr>
        <w:t xml:space="preserve"> shoreline features</w:t>
      </w:r>
      <w:r w:rsidR="00543201">
        <w:rPr>
          <w:szCs w:val="24"/>
        </w:rPr>
        <w:t xml:space="preserve"> formed</w:t>
      </w:r>
      <w:r w:rsidR="00AC3F90">
        <w:rPr>
          <w:szCs w:val="24"/>
        </w:rPr>
        <w:t xml:space="preserve"> that </w:t>
      </w:r>
      <w:r w:rsidR="002E5A83">
        <w:rPr>
          <w:szCs w:val="24"/>
        </w:rPr>
        <w:t>are preserved</w:t>
      </w:r>
      <w:r w:rsidR="006D1EBF">
        <w:rPr>
          <w:szCs w:val="24"/>
        </w:rPr>
        <w:t xml:space="preserve"> inland, such</w:t>
      </w:r>
      <w:r w:rsidR="002E5A83">
        <w:rPr>
          <w:szCs w:val="24"/>
        </w:rPr>
        <w:t xml:space="preserve"> as stranded beach ridges. </w:t>
      </w:r>
      <w:r w:rsidR="003B15E1">
        <w:rPr>
          <w:szCs w:val="24"/>
        </w:rPr>
        <w:t>L</w:t>
      </w:r>
      <w:r w:rsidR="00543201">
        <w:rPr>
          <w:szCs w:val="24"/>
        </w:rPr>
        <w:t xml:space="preserve">andforms associated with these </w:t>
      </w:r>
      <w:r w:rsidR="003B15E1">
        <w:rPr>
          <w:szCs w:val="24"/>
        </w:rPr>
        <w:t xml:space="preserve">elevated </w:t>
      </w:r>
      <w:r w:rsidR="00543201">
        <w:rPr>
          <w:szCs w:val="24"/>
        </w:rPr>
        <w:t>shorelines</w:t>
      </w:r>
      <w:r w:rsidR="002E5A83">
        <w:rPr>
          <w:szCs w:val="24"/>
        </w:rPr>
        <w:t xml:space="preserve"> were stable enough</w:t>
      </w:r>
      <w:r w:rsidR="00340F45">
        <w:rPr>
          <w:szCs w:val="24"/>
        </w:rPr>
        <w:t xml:space="preserve"> </w:t>
      </w:r>
      <w:r w:rsidR="002E5A83">
        <w:rPr>
          <w:szCs w:val="24"/>
        </w:rPr>
        <w:t xml:space="preserve">for the accumulation of archaeological material from repeated human occupation </w:t>
      </w:r>
      <w:r w:rsidR="006D1EBF">
        <w:rPr>
          <w:szCs w:val="24"/>
        </w:rPr>
        <w:t xml:space="preserve">at </w:t>
      </w:r>
      <w:r w:rsidR="002E5A83">
        <w:rPr>
          <w:szCs w:val="24"/>
        </w:rPr>
        <w:t xml:space="preserve">the same place. </w:t>
      </w:r>
      <w:r w:rsidR="00DA141A">
        <w:rPr>
          <w:szCs w:val="24"/>
        </w:rPr>
        <w:t>As</w:t>
      </w:r>
      <w:r w:rsidR="005361CF">
        <w:rPr>
          <w:szCs w:val="24"/>
        </w:rPr>
        <w:t xml:space="preserve"> relative sea</w:t>
      </w:r>
      <w:r w:rsidR="00C03226">
        <w:rPr>
          <w:szCs w:val="24"/>
        </w:rPr>
        <w:t xml:space="preserve"> </w:t>
      </w:r>
      <w:r w:rsidR="005361CF">
        <w:rPr>
          <w:szCs w:val="24"/>
        </w:rPr>
        <w:t xml:space="preserve">level </w:t>
      </w:r>
      <w:r w:rsidR="003B15E1">
        <w:rPr>
          <w:szCs w:val="24"/>
        </w:rPr>
        <w:t xml:space="preserve">was falling </w:t>
      </w:r>
      <w:r w:rsidR="005361CF">
        <w:rPr>
          <w:szCs w:val="24"/>
        </w:rPr>
        <w:t>th</w:t>
      </w:r>
      <w:r w:rsidR="003B15E1">
        <w:rPr>
          <w:szCs w:val="24"/>
        </w:rPr>
        <w:t>roughout</w:t>
      </w:r>
      <w:r w:rsidR="005361CF">
        <w:rPr>
          <w:szCs w:val="24"/>
        </w:rPr>
        <w:t xml:space="preserve"> </w:t>
      </w:r>
      <w:r w:rsidR="003B15E1">
        <w:rPr>
          <w:szCs w:val="24"/>
        </w:rPr>
        <w:t xml:space="preserve">the </w:t>
      </w:r>
      <w:r w:rsidR="005361CF">
        <w:rPr>
          <w:szCs w:val="24"/>
        </w:rPr>
        <w:t>Holocene</w:t>
      </w:r>
      <w:r w:rsidR="003B15E1">
        <w:rPr>
          <w:szCs w:val="24"/>
        </w:rPr>
        <w:t xml:space="preserve"> (ca. 12,000 </w:t>
      </w:r>
      <w:proofErr w:type="spellStart"/>
      <w:r w:rsidR="00865C0F">
        <w:rPr>
          <w:szCs w:val="24"/>
        </w:rPr>
        <w:t>cal</w:t>
      </w:r>
      <w:proofErr w:type="spellEnd"/>
      <w:r w:rsidR="00865C0F">
        <w:rPr>
          <w:szCs w:val="24"/>
        </w:rPr>
        <w:t xml:space="preserve"> </w:t>
      </w:r>
      <w:proofErr w:type="spellStart"/>
      <w:r w:rsidR="00865C0F">
        <w:rPr>
          <w:szCs w:val="24"/>
        </w:rPr>
        <w:t>yr</w:t>
      </w:r>
      <w:proofErr w:type="spellEnd"/>
      <w:r w:rsidR="00865C0F">
        <w:rPr>
          <w:szCs w:val="24"/>
        </w:rPr>
        <w:t xml:space="preserve"> BP </w:t>
      </w:r>
      <w:r w:rsidR="003B15E1">
        <w:rPr>
          <w:szCs w:val="24"/>
        </w:rPr>
        <w:t>to the present)</w:t>
      </w:r>
      <w:r w:rsidR="005361CF">
        <w:rPr>
          <w:szCs w:val="24"/>
        </w:rPr>
        <w:t xml:space="preserve">, the elevation of archaeological deposits can </w:t>
      </w:r>
      <w:r w:rsidR="0081558D">
        <w:rPr>
          <w:szCs w:val="24"/>
        </w:rPr>
        <w:t>indicate the</w:t>
      </w:r>
      <w:r w:rsidR="005361CF">
        <w:rPr>
          <w:szCs w:val="24"/>
        </w:rPr>
        <w:t xml:space="preserve"> </w:t>
      </w:r>
      <w:r w:rsidR="005361CF">
        <w:rPr>
          <w:i/>
          <w:szCs w:val="24"/>
        </w:rPr>
        <w:t xml:space="preserve">earliest </w:t>
      </w:r>
      <w:r w:rsidR="005361CF">
        <w:rPr>
          <w:szCs w:val="24"/>
        </w:rPr>
        <w:t>time at which a lo</w:t>
      </w:r>
      <w:r w:rsidR="00DA141A">
        <w:rPr>
          <w:szCs w:val="24"/>
        </w:rPr>
        <w:t>cation could have been occupied.  For example,</w:t>
      </w:r>
      <w:r w:rsidR="005361CF">
        <w:rPr>
          <w:szCs w:val="24"/>
        </w:rPr>
        <w:t xml:space="preserve"> the areas closer to the modern shoreline were only </w:t>
      </w:r>
      <w:r w:rsidR="00836CA2">
        <w:rPr>
          <w:szCs w:val="24"/>
        </w:rPr>
        <w:t xml:space="preserve">subaerially exposed and </w:t>
      </w:r>
      <w:r w:rsidR="005361CF">
        <w:rPr>
          <w:szCs w:val="24"/>
        </w:rPr>
        <w:t>habitable in the latter half of the Holocene</w:t>
      </w:r>
      <w:r w:rsidR="00E0692D">
        <w:rPr>
          <w:szCs w:val="24"/>
        </w:rPr>
        <w:t>;</w:t>
      </w:r>
      <w:r w:rsidR="00DA141A">
        <w:rPr>
          <w:szCs w:val="24"/>
        </w:rPr>
        <w:t xml:space="preserve"> </w:t>
      </w:r>
      <w:r w:rsidR="00F11298">
        <w:rPr>
          <w:szCs w:val="24"/>
        </w:rPr>
        <w:t>earlier</w:t>
      </w:r>
      <w:r w:rsidR="00DA141A">
        <w:rPr>
          <w:szCs w:val="24"/>
        </w:rPr>
        <w:t xml:space="preserve"> they were in the intertidal zone </w:t>
      </w:r>
      <w:r w:rsidR="004C5D6A">
        <w:rPr>
          <w:szCs w:val="24"/>
        </w:rPr>
        <w:t xml:space="preserve">due to higher </w:t>
      </w:r>
      <w:r w:rsidR="00DA141A">
        <w:rPr>
          <w:szCs w:val="24"/>
        </w:rPr>
        <w:t>relative sea level</w:t>
      </w:r>
      <w:r w:rsidR="005361CF">
        <w:rPr>
          <w:szCs w:val="24"/>
        </w:rPr>
        <w:t>. This understanding of the relat</w:t>
      </w:r>
      <w:r w:rsidR="00336922">
        <w:rPr>
          <w:szCs w:val="24"/>
        </w:rPr>
        <w:t xml:space="preserve">ive sea </w:t>
      </w:r>
      <w:r w:rsidR="005361CF">
        <w:rPr>
          <w:szCs w:val="24"/>
        </w:rPr>
        <w:t xml:space="preserve">level history of the Dundas Islands is </w:t>
      </w:r>
      <w:r w:rsidR="0049188B">
        <w:rPr>
          <w:szCs w:val="24"/>
        </w:rPr>
        <w:t>critical</w:t>
      </w:r>
      <w:r w:rsidR="005361CF">
        <w:rPr>
          <w:szCs w:val="24"/>
        </w:rPr>
        <w:t xml:space="preserve"> for both designing an archaeological survey of the landscape </w:t>
      </w:r>
      <w:r w:rsidR="00C03226">
        <w:rPr>
          <w:szCs w:val="24"/>
        </w:rPr>
        <w:t>and</w:t>
      </w:r>
      <w:r w:rsidR="005361CF">
        <w:rPr>
          <w:szCs w:val="24"/>
        </w:rPr>
        <w:t xml:space="preserve"> </w:t>
      </w:r>
      <w:r w:rsidR="00DA141A">
        <w:rPr>
          <w:szCs w:val="24"/>
        </w:rPr>
        <w:t xml:space="preserve">for </w:t>
      </w:r>
      <w:r w:rsidR="005361CF">
        <w:rPr>
          <w:szCs w:val="24"/>
        </w:rPr>
        <w:t>understanding shifting patterns of settlement through time.</w:t>
      </w:r>
    </w:p>
    <w:p w14:paraId="12BF3D1B" w14:textId="77777777" w:rsidR="00C71EEB" w:rsidRPr="00C71EEB" w:rsidRDefault="00C71EEB" w:rsidP="005E1E4C">
      <w:pPr>
        <w:spacing w:after="0" w:line="480" w:lineRule="auto"/>
        <w:rPr>
          <w:szCs w:val="24"/>
        </w:rPr>
      </w:pPr>
    </w:p>
    <w:p w14:paraId="4D97E86F" w14:textId="77777777" w:rsidR="00A66575" w:rsidRPr="00865C0F" w:rsidRDefault="005361CF" w:rsidP="005E1E4C">
      <w:pPr>
        <w:spacing w:after="0" w:line="480" w:lineRule="auto"/>
        <w:rPr>
          <w:szCs w:val="24"/>
        </w:rPr>
      </w:pPr>
      <w:r w:rsidRPr="00865C0F">
        <w:rPr>
          <w:szCs w:val="24"/>
        </w:rPr>
        <w:t>THE DUNDAS ISLANDS SURVEYS</w:t>
      </w:r>
    </w:p>
    <w:p w14:paraId="57BCC9EE" w14:textId="3C9986E6" w:rsidR="005361CF" w:rsidRPr="00637E3F" w:rsidRDefault="00D40F67" w:rsidP="005E1E4C">
      <w:pPr>
        <w:spacing w:after="0" w:line="480" w:lineRule="auto"/>
      </w:pPr>
      <w:r>
        <w:rPr>
          <w:szCs w:val="24"/>
        </w:rPr>
        <w:t>Before</w:t>
      </w:r>
      <w:r w:rsidR="006C6FDB">
        <w:rPr>
          <w:szCs w:val="24"/>
        </w:rPr>
        <w:t xml:space="preserve"> the survey portion of the Dundas Islands Archaeological Project </w:t>
      </w:r>
      <w:r w:rsidR="00F11298">
        <w:rPr>
          <w:szCs w:val="24"/>
        </w:rPr>
        <w:t xml:space="preserve">was </w:t>
      </w:r>
      <w:r w:rsidR="006C6FDB">
        <w:rPr>
          <w:szCs w:val="24"/>
        </w:rPr>
        <w:t>conducted fr</w:t>
      </w:r>
      <w:r w:rsidR="00AC3F90">
        <w:rPr>
          <w:szCs w:val="24"/>
        </w:rPr>
        <w:t>om 2005</w:t>
      </w:r>
      <w:r w:rsidR="00C03226">
        <w:rPr>
          <w:szCs w:val="24"/>
        </w:rPr>
        <w:t xml:space="preserve"> to </w:t>
      </w:r>
      <w:r w:rsidR="00AC3F90">
        <w:rPr>
          <w:szCs w:val="24"/>
        </w:rPr>
        <w:t xml:space="preserve">2007, </w:t>
      </w:r>
      <w:r>
        <w:rPr>
          <w:szCs w:val="24"/>
        </w:rPr>
        <w:t>archaeologists had only cursorily examined the archipelago</w:t>
      </w:r>
      <w:r w:rsidR="006C6FDB">
        <w:rPr>
          <w:szCs w:val="24"/>
        </w:rPr>
        <w:t xml:space="preserve">. In 1975 Richard Inglis flew over the </w:t>
      </w:r>
      <w:r w:rsidR="00AC3F90">
        <w:rPr>
          <w:szCs w:val="24"/>
        </w:rPr>
        <w:t>northern coast of Dundas Island</w:t>
      </w:r>
      <w:r w:rsidR="006C6FDB">
        <w:rPr>
          <w:szCs w:val="24"/>
        </w:rPr>
        <w:t xml:space="preserve">, around </w:t>
      </w:r>
      <w:proofErr w:type="spellStart"/>
      <w:r w:rsidR="006C6FDB">
        <w:rPr>
          <w:szCs w:val="24"/>
        </w:rPr>
        <w:t>Zayas</w:t>
      </w:r>
      <w:proofErr w:type="spellEnd"/>
      <w:r w:rsidR="006C6FDB">
        <w:rPr>
          <w:szCs w:val="24"/>
        </w:rPr>
        <w:t xml:space="preserve"> Island, and over Hudson Bay Passage between Dundas and Baron Island</w:t>
      </w:r>
      <w:r w:rsidR="00C03226">
        <w:rPr>
          <w:szCs w:val="24"/>
        </w:rPr>
        <w:t>s,</w:t>
      </w:r>
      <w:r w:rsidR="006C6FDB">
        <w:rPr>
          <w:szCs w:val="24"/>
        </w:rPr>
        <w:t xml:space="preserve"> record</w:t>
      </w:r>
      <w:r w:rsidR="00C03226">
        <w:rPr>
          <w:szCs w:val="24"/>
        </w:rPr>
        <w:t>ing</w:t>
      </w:r>
      <w:r w:rsidR="006C6FDB">
        <w:rPr>
          <w:szCs w:val="24"/>
        </w:rPr>
        <w:t xml:space="preserve"> nine archaeological sites</w:t>
      </w:r>
      <w:r w:rsidR="00DE5D34">
        <w:rPr>
          <w:szCs w:val="24"/>
        </w:rPr>
        <w:t xml:space="preserve"> that were </w:t>
      </w:r>
      <w:r w:rsidR="00DE5D34">
        <w:rPr>
          <w:szCs w:val="24"/>
        </w:rPr>
        <w:lastRenderedPageBreak/>
        <w:t xml:space="preserve">recognized by the presence of standing historic architecture </w:t>
      </w:r>
      <w:r w:rsidR="006C6FDB">
        <w:rPr>
          <w:szCs w:val="24"/>
        </w:rPr>
        <w:t>(Inglis 1975).</w:t>
      </w:r>
      <w:r w:rsidR="00BF5987">
        <w:rPr>
          <w:szCs w:val="24"/>
        </w:rPr>
        <w:t xml:space="preserve"> In 1987</w:t>
      </w:r>
      <w:r w:rsidR="00DE5D34">
        <w:rPr>
          <w:szCs w:val="24"/>
        </w:rPr>
        <w:t>,</w:t>
      </w:r>
      <w:r w:rsidR="00BF5987">
        <w:rPr>
          <w:szCs w:val="24"/>
        </w:rPr>
        <w:t xml:space="preserve"> James Haggarty survey</w:t>
      </w:r>
      <w:r w:rsidR="00E81693">
        <w:rPr>
          <w:szCs w:val="24"/>
        </w:rPr>
        <w:t>ed</w:t>
      </w:r>
      <w:r w:rsidR="00BF5987">
        <w:rPr>
          <w:szCs w:val="24"/>
        </w:rPr>
        <w:t xml:space="preserve"> many of the same shorelines </w:t>
      </w:r>
      <w:r w:rsidR="00E81693">
        <w:rPr>
          <w:szCs w:val="24"/>
        </w:rPr>
        <w:t>by boat</w:t>
      </w:r>
      <w:r w:rsidR="00836CA2">
        <w:rPr>
          <w:szCs w:val="24"/>
        </w:rPr>
        <w:t xml:space="preserve">, focusing on </w:t>
      </w:r>
      <w:proofErr w:type="spellStart"/>
      <w:r w:rsidR="00836CA2">
        <w:rPr>
          <w:szCs w:val="24"/>
        </w:rPr>
        <w:t>Zayas</w:t>
      </w:r>
      <w:proofErr w:type="spellEnd"/>
      <w:r w:rsidR="00836CA2">
        <w:rPr>
          <w:szCs w:val="24"/>
        </w:rPr>
        <w:t xml:space="preserve"> Island</w:t>
      </w:r>
      <w:r w:rsidR="00BF5987">
        <w:rPr>
          <w:szCs w:val="24"/>
        </w:rPr>
        <w:t xml:space="preserve"> and the north end of Dundas Island</w:t>
      </w:r>
      <w:r w:rsidR="00A512F0">
        <w:rPr>
          <w:szCs w:val="24"/>
        </w:rPr>
        <w:t xml:space="preserve"> (Haggarty 1988)</w:t>
      </w:r>
      <w:r w:rsidR="005A0DD2">
        <w:rPr>
          <w:szCs w:val="24"/>
        </w:rPr>
        <w:t xml:space="preserve">. Haggarty visited many of the sites identified by Inglis, and </w:t>
      </w:r>
      <w:r w:rsidR="00DA141A">
        <w:rPr>
          <w:szCs w:val="24"/>
        </w:rPr>
        <w:t xml:space="preserve">identified a handful of </w:t>
      </w:r>
      <w:r w:rsidR="005A0DD2">
        <w:rPr>
          <w:szCs w:val="24"/>
        </w:rPr>
        <w:t>canoe runs, stone fish traps, and sites with subsurface shell-bearing components.</w:t>
      </w:r>
      <w:r w:rsidR="00A512F0">
        <w:rPr>
          <w:szCs w:val="24"/>
        </w:rPr>
        <w:t xml:space="preserve"> One of the sites</w:t>
      </w:r>
      <w:r w:rsidR="001F5184">
        <w:rPr>
          <w:szCs w:val="24"/>
        </w:rPr>
        <w:t xml:space="preserve"> </w:t>
      </w:r>
      <w:r w:rsidR="00DE5D34">
        <w:rPr>
          <w:szCs w:val="24"/>
        </w:rPr>
        <w:t xml:space="preserve">(GcTr-5), </w:t>
      </w:r>
      <w:r w:rsidR="001F5184">
        <w:rPr>
          <w:szCs w:val="24"/>
        </w:rPr>
        <w:t>on an islet in Hudson Bay Pass between Dundas and Baron Island</w:t>
      </w:r>
      <w:r w:rsidR="00A512F0">
        <w:rPr>
          <w:szCs w:val="24"/>
        </w:rPr>
        <w:t xml:space="preserve">, was a village </w:t>
      </w:r>
      <w:r w:rsidR="006B34CB">
        <w:rPr>
          <w:szCs w:val="24"/>
        </w:rPr>
        <w:t xml:space="preserve">that was </w:t>
      </w:r>
      <w:r w:rsidR="00A512F0">
        <w:rPr>
          <w:szCs w:val="24"/>
        </w:rPr>
        <w:t>large enough</w:t>
      </w:r>
      <w:r w:rsidR="002F366C">
        <w:rPr>
          <w:szCs w:val="24"/>
        </w:rPr>
        <w:t xml:space="preserve"> (9</w:t>
      </w:r>
      <w:r w:rsidR="00DE5D34">
        <w:rPr>
          <w:szCs w:val="24"/>
        </w:rPr>
        <w:t>,</w:t>
      </w:r>
      <w:r w:rsidR="002F366C">
        <w:rPr>
          <w:szCs w:val="24"/>
        </w:rPr>
        <w:t>850</w:t>
      </w:r>
      <w:r w:rsidR="00DE5D34">
        <w:rPr>
          <w:szCs w:val="24"/>
          <w:vertAlign w:val="superscript"/>
        </w:rPr>
        <w:t xml:space="preserve"> </w:t>
      </w:r>
      <w:r w:rsidR="00DE5D34">
        <w:rPr>
          <w:szCs w:val="24"/>
        </w:rPr>
        <w:t>square metres</w:t>
      </w:r>
      <w:r w:rsidR="002F366C">
        <w:rPr>
          <w:szCs w:val="24"/>
        </w:rPr>
        <w:t>)</w:t>
      </w:r>
      <w:r w:rsidR="00A512F0">
        <w:rPr>
          <w:szCs w:val="24"/>
        </w:rPr>
        <w:t xml:space="preserve"> to parallel any of those known in the Prince Rupert Harbour,</w:t>
      </w:r>
      <w:r w:rsidR="00637E3F">
        <w:rPr>
          <w:szCs w:val="24"/>
        </w:rPr>
        <w:t xml:space="preserve"> </w:t>
      </w:r>
      <w:r w:rsidR="00A512F0">
        <w:rPr>
          <w:szCs w:val="24"/>
        </w:rPr>
        <w:t xml:space="preserve">and suggested that these islands on the </w:t>
      </w:r>
      <w:r w:rsidR="00DE5D34">
        <w:rPr>
          <w:szCs w:val="24"/>
        </w:rPr>
        <w:t>north</w:t>
      </w:r>
      <w:r w:rsidR="00A512F0">
        <w:rPr>
          <w:szCs w:val="24"/>
        </w:rPr>
        <w:t xml:space="preserve">western periphery of </w:t>
      </w:r>
      <w:r w:rsidR="008E6B96">
        <w:rPr>
          <w:szCs w:val="24"/>
        </w:rPr>
        <w:t xml:space="preserve">Northern </w:t>
      </w:r>
      <w:r w:rsidR="00A512F0">
        <w:rPr>
          <w:szCs w:val="24"/>
        </w:rPr>
        <w:t>Tsimshian territory may have been important settlement areas in times past.</w:t>
      </w:r>
    </w:p>
    <w:p w14:paraId="009BA6FA" w14:textId="1F465CE3" w:rsidR="002F366C" w:rsidRDefault="00A512F0" w:rsidP="005E1E4C">
      <w:pPr>
        <w:spacing w:after="0" w:line="480" w:lineRule="auto"/>
        <w:ind w:firstLine="720"/>
        <w:rPr>
          <w:szCs w:val="24"/>
        </w:rPr>
      </w:pPr>
      <w:r>
        <w:rPr>
          <w:szCs w:val="24"/>
        </w:rPr>
        <w:t>In 1998</w:t>
      </w:r>
      <w:r w:rsidR="001F5184">
        <w:rPr>
          <w:szCs w:val="24"/>
        </w:rPr>
        <w:t xml:space="preserve"> David Archer re</w:t>
      </w:r>
      <w:r w:rsidR="00A45841">
        <w:rPr>
          <w:szCs w:val="24"/>
        </w:rPr>
        <w:t xml:space="preserve">corded, mapped, and </w:t>
      </w:r>
      <w:r w:rsidR="001F5184">
        <w:rPr>
          <w:szCs w:val="24"/>
        </w:rPr>
        <w:t>dated another large</w:t>
      </w:r>
      <w:r w:rsidR="002F366C">
        <w:rPr>
          <w:szCs w:val="24"/>
        </w:rPr>
        <w:t xml:space="preserve"> (9</w:t>
      </w:r>
      <w:r w:rsidR="00DE5D34">
        <w:rPr>
          <w:szCs w:val="24"/>
        </w:rPr>
        <w:t>,</w:t>
      </w:r>
      <w:r w:rsidR="002F366C">
        <w:rPr>
          <w:szCs w:val="24"/>
        </w:rPr>
        <w:t>800</w:t>
      </w:r>
      <w:r w:rsidR="00DE5D34">
        <w:rPr>
          <w:szCs w:val="24"/>
          <w:vertAlign w:val="superscript"/>
        </w:rPr>
        <w:t xml:space="preserve"> </w:t>
      </w:r>
      <w:r w:rsidR="00DE5D34">
        <w:rPr>
          <w:szCs w:val="24"/>
        </w:rPr>
        <w:t>square metres</w:t>
      </w:r>
      <w:r w:rsidR="002F366C">
        <w:rPr>
          <w:szCs w:val="24"/>
        </w:rPr>
        <w:t>)</w:t>
      </w:r>
      <w:r w:rsidR="001F5184">
        <w:rPr>
          <w:szCs w:val="24"/>
        </w:rPr>
        <w:t xml:space="preserve"> village </w:t>
      </w:r>
      <w:r w:rsidR="00DE5D34">
        <w:rPr>
          <w:szCs w:val="24"/>
        </w:rPr>
        <w:t>(</w:t>
      </w:r>
      <w:r w:rsidR="001F5184">
        <w:rPr>
          <w:szCs w:val="24"/>
        </w:rPr>
        <w:t>GcTq-1</w:t>
      </w:r>
      <w:r w:rsidR="00DE5D34">
        <w:rPr>
          <w:szCs w:val="24"/>
        </w:rPr>
        <w:t>)</w:t>
      </w:r>
      <w:r w:rsidR="001F5184">
        <w:rPr>
          <w:szCs w:val="24"/>
        </w:rPr>
        <w:t xml:space="preserve"> on an islet west of Melville Island, which he proposed could have been home to 200</w:t>
      </w:r>
      <w:r w:rsidR="00DE5D34">
        <w:rPr>
          <w:szCs w:val="24"/>
        </w:rPr>
        <w:t xml:space="preserve"> to </w:t>
      </w:r>
      <w:r w:rsidR="001F5184">
        <w:rPr>
          <w:szCs w:val="24"/>
        </w:rPr>
        <w:t>300 people</w:t>
      </w:r>
      <w:r w:rsidR="002F366C">
        <w:rPr>
          <w:szCs w:val="24"/>
        </w:rPr>
        <w:t xml:space="preserve"> nearly 2</w:t>
      </w:r>
      <w:r w:rsidR="00DE5D34">
        <w:rPr>
          <w:szCs w:val="24"/>
        </w:rPr>
        <w:t>,</w:t>
      </w:r>
      <w:r w:rsidR="002F366C">
        <w:rPr>
          <w:szCs w:val="24"/>
        </w:rPr>
        <w:t>000 years ago</w:t>
      </w:r>
      <w:r w:rsidR="001F5184">
        <w:rPr>
          <w:szCs w:val="24"/>
        </w:rPr>
        <w:t xml:space="preserve"> (Archer 2000). </w:t>
      </w:r>
      <w:r w:rsidR="006B34CB">
        <w:rPr>
          <w:szCs w:val="24"/>
        </w:rPr>
        <w:t>H</w:t>
      </w:r>
      <w:r w:rsidR="001F5184">
        <w:rPr>
          <w:szCs w:val="24"/>
        </w:rPr>
        <w:t xml:space="preserve">e identified several other sites on and around Melville </w:t>
      </w:r>
      <w:r w:rsidR="00D81EFE">
        <w:rPr>
          <w:szCs w:val="24"/>
        </w:rPr>
        <w:t xml:space="preserve">and Baron </w:t>
      </w:r>
      <w:r w:rsidR="001F5184">
        <w:rPr>
          <w:szCs w:val="24"/>
        </w:rPr>
        <w:t>Island</w:t>
      </w:r>
      <w:r w:rsidR="00D81EFE">
        <w:rPr>
          <w:szCs w:val="24"/>
        </w:rPr>
        <w:t>s</w:t>
      </w:r>
      <w:r w:rsidR="00A45841">
        <w:rPr>
          <w:szCs w:val="24"/>
        </w:rPr>
        <w:t>, including small shell midden</w:t>
      </w:r>
      <w:r w:rsidR="001F5184">
        <w:rPr>
          <w:szCs w:val="24"/>
        </w:rPr>
        <w:t xml:space="preserve"> sites, fish traps, and culturally modified trees. The </w:t>
      </w:r>
      <w:r w:rsidR="00DE5D34">
        <w:rPr>
          <w:szCs w:val="24"/>
        </w:rPr>
        <w:t xml:space="preserve">discoveries </w:t>
      </w:r>
      <w:r w:rsidR="002F366C">
        <w:rPr>
          <w:szCs w:val="24"/>
        </w:rPr>
        <w:t xml:space="preserve">of such large and abundant archaeological sites </w:t>
      </w:r>
      <w:r w:rsidR="00DE5D34">
        <w:rPr>
          <w:szCs w:val="24"/>
        </w:rPr>
        <w:t xml:space="preserve">during </w:t>
      </w:r>
      <w:r w:rsidR="001F5184">
        <w:rPr>
          <w:szCs w:val="24"/>
        </w:rPr>
        <w:t>these brief projects justified a systematic archaeological survey of the Dundas Islands</w:t>
      </w:r>
      <w:r w:rsidR="002F366C">
        <w:rPr>
          <w:szCs w:val="24"/>
        </w:rPr>
        <w:t>, a task</w:t>
      </w:r>
      <w:r w:rsidR="00C40A3A">
        <w:rPr>
          <w:szCs w:val="24"/>
        </w:rPr>
        <w:t xml:space="preserve"> proposed by Archer (2000)</w:t>
      </w:r>
      <w:r w:rsidR="002F366C">
        <w:rPr>
          <w:szCs w:val="24"/>
        </w:rPr>
        <w:t xml:space="preserve"> that was taken up by the </w:t>
      </w:r>
      <w:r w:rsidR="008768D9">
        <w:rPr>
          <w:szCs w:val="24"/>
        </w:rPr>
        <w:t>Dundas Islands Archaeological Project</w:t>
      </w:r>
      <w:r w:rsidR="002F366C">
        <w:rPr>
          <w:szCs w:val="24"/>
        </w:rPr>
        <w:t>.</w:t>
      </w:r>
    </w:p>
    <w:p w14:paraId="6E616D6E" w14:textId="585CF5A4" w:rsidR="00316C91" w:rsidRDefault="00C40A3A" w:rsidP="005E1E4C">
      <w:pPr>
        <w:spacing w:after="0" w:line="480" w:lineRule="auto"/>
        <w:ind w:firstLine="720"/>
        <w:rPr>
          <w:szCs w:val="24"/>
        </w:rPr>
      </w:pPr>
      <w:r>
        <w:rPr>
          <w:szCs w:val="24"/>
        </w:rPr>
        <w:t>W</w:t>
      </w:r>
      <w:r w:rsidR="00B20488">
        <w:rPr>
          <w:szCs w:val="24"/>
        </w:rPr>
        <w:t>e conducte</w:t>
      </w:r>
      <w:r w:rsidR="006D3887">
        <w:rPr>
          <w:szCs w:val="24"/>
        </w:rPr>
        <w:t xml:space="preserve">d a survey of the </w:t>
      </w:r>
      <w:r w:rsidR="00D81EFE">
        <w:rPr>
          <w:szCs w:val="24"/>
        </w:rPr>
        <w:t xml:space="preserve">entire modern coastline of all islands and islets in the </w:t>
      </w:r>
      <w:r w:rsidR="006D3887">
        <w:rPr>
          <w:szCs w:val="24"/>
        </w:rPr>
        <w:t>region from the southern shore of Dundas Island to the north shore of Melville Island</w:t>
      </w:r>
      <w:r w:rsidR="00D81EFE">
        <w:rPr>
          <w:szCs w:val="24"/>
        </w:rPr>
        <w:t xml:space="preserve"> (</w:t>
      </w:r>
      <w:r w:rsidR="00D81EFE" w:rsidRPr="007445CE">
        <w:rPr>
          <w:szCs w:val="24"/>
        </w:rPr>
        <w:t xml:space="preserve">Figure </w:t>
      </w:r>
      <w:r w:rsidR="004158EA" w:rsidRPr="007445CE">
        <w:rPr>
          <w:szCs w:val="24"/>
        </w:rPr>
        <w:t>2</w:t>
      </w:r>
      <w:r w:rsidR="00D81EFE">
        <w:rPr>
          <w:szCs w:val="24"/>
        </w:rPr>
        <w:t>)</w:t>
      </w:r>
      <w:r w:rsidR="006D3887">
        <w:rPr>
          <w:szCs w:val="24"/>
        </w:rPr>
        <w:t xml:space="preserve">. </w:t>
      </w:r>
      <w:r w:rsidR="00CA2635">
        <w:rPr>
          <w:szCs w:val="24"/>
        </w:rPr>
        <w:t xml:space="preserve">Using air photographs, digital elevation models, and </w:t>
      </w:r>
      <w:r w:rsidR="007038A1">
        <w:rPr>
          <w:szCs w:val="24"/>
        </w:rPr>
        <w:t xml:space="preserve">in-field </w:t>
      </w:r>
      <w:r w:rsidR="00CA2635">
        <w:rPr>
          <w:szCs w:val="24"/>
        </w:rPr>
        <w:t>near</w:t>
      </w:r>
      <w:r w:rsidR="00DE5D34">
        <w:rPr>
          <w:szCs w:val="24"/>
        </w:rPr>
        <w:t>-</w:t>
      </w:r>
      <w:r w:rsidR="00CA2635">
        <w:rPr>
          <w:szCs w:val="24"/>
        </w:rPr>
        <w:t>shore observation</w:t>
      </w:r>
      <w:r w:rsidR="00D40F67">
        <w:rPr>
          <w:szCs w:val="24"/>
        </w:rPr>
        <w:t>s</w:t>
      </w:r>
      <w:r w:rsidR="00CA2635">
        <w:rPr>
          <w:szCs w:val="24"/>
        </w:rPr>
        <w:t>, we evaluated the potential for archaeological sites on landforms in this area</w:t>
      </w:r>
      <w:r w:rsidR="004D56C1">
        <w:rPr>
          <w:szCs w:val="24"/>
        </w:rPr>
        <w:t>.</w:t>
      </w:r>
      <w:r w:rsidR="00CA2635">
        <w:rPr>
          <w:szCs w:val="24"/>
        </w:rPr>
        <w:t xml:space="preserve"> </w:t>
      </w:r>
      <w:r w:rsidR="004D56C1">
        <w:rPr>
          <w:szCs w:val="24"/>
        </w:rPr>
        <w:t xml:space="preserve">We </w:t>
      </w:r>
      <w:r w:rsidR="00CA2635">
        <w:rPr>
          <w:szCs w:val="24"/>
        </w:rPr>
        <w:t>focused our field efforts on well</w:t>
      </w:r>
      <w:r w:rsidR="004158EA">
        <w:rPr>
          <w:szCs w:val="24"/>
        </w:rPr>
        <w:t>-</w:t>
      </w:r>
      <w:r w:rsidR="00CA2635">
        <w:rPr>
          <w:szCs w:val="24"/>
        </w:rPr>
        <w:t>drained and low relief areas on the modern shoreline and on 7.5 m</w:t>
      </w:r>
      <w:r w:rsidR="00DE5D34">
        <w:rPr>
          <w:szCs w:val="24"/>
        </w:rPr>
        <w:t>etre</w:t>
      </w:r>
      <w:r w:rsidR="00CA2635">
        <w:rPr>
          <w:szCs w:val="24"/>
        </w:rPr>
        <w:t xml:space="preserve"> ASL terraces from </w:t>
      </w:r>
      <w:r>
        <w:rPr>
          <w:szCs w:val="24"/>
        </w:rPr>
        <w:t>the</w:t>
      </w:r>
      <w:r w:rsidR="00CC60A6">
        <w:rPr>
          <w:szCs w:val="24"/>
        </w:rPr>
        <w:t xml:space="preserve"> relative sea</w:t>
      </w:r>
      <w:r>
        <w:rPr>
          <w:szCs w:val="24"/>
        </w:rPr>
        <w:t xml:space="preserve"> </w:t>
      </w:r>
      <w:r w:rsidR="00CC60A6">
        <w:rPr>
          <w:szCs w:val="24"/>
        </w:rPr>
        <w:t xml:space="preserve">level still-stand dating to </w:t>
      </w:r>
      <w:r w:rsidR="00CA2635">
        <w:rPr>
          <w:szCs w:val="24"/>
        </w:rPr>
        <w:t>8850</w:t>
      </w:r>
      <w:r w:rsidR="00257E4B">
        <w:rPr>
          <w:szCs w:val="24"/>
        </w:rPr>
        <w:t xml:space="preserve"> to </w:t>
      </w:r>
      <w:r w:rsidR="00CA2635">
        <w:rPr>
          <w:szCs w:val="24"/>
        </w:rPr>
        <w:t xml:space="preserve">6100 </w:t>
      </w:r>
      <w:proofErr w:type="spellStart"/>
      <w:r>
        <w:rPr>
          <w:szCs w:val="24"/>
        </w:rPr>
        <w:t>cal</w:t>
      </w:r>
      <w:proofErr w:type="spellEnd"/>
      <w:r>
        <w:rPr>
          <w:szCs w:val="24"/>
        </w:rPr>
        <w:t xml:space="preserve"> </w:t>
      </w:r>
      <w:proofErr w:type="spellStart"/>
      <w:r>
        <w:rPr>
          <w:szCs w:val="24"/>
        </w:rPr>
        <w:t>yr</w:t>
      </w:r>
      <w:proofErr w:type="spellEnd"/>
      <w:r>
        <w:rPr>
          <w:szCs w:val="24"/>
        </w:rPr>
        <w:t xml:space="preserve"> BP</w:t>
      </w:r>
      <w:r w:rsidR="00CA2635">
        <w:rPr>
          <w:szCs w:val="24"/>
        </w:rPr>
        <w:t xml:space="preserve"> (Martindale et al. </w:t>
      </w:r>
      <w:r w:rsidR="003B15E1">
        <w:rPr>
          <w:szCs w:val="24"/>
        </w:rPr>
        <w:t xml:space="preserve">2009; </w:t>
      </w:r>
      <w:r w:rsidR="00CA2635">
        <w:rPr>
          <w:szCs w:val="24"/>
        </w:rPr>
        <w:t>2010).</w:t>
      </w:r>
      <w:r w:rsidR="003E7B18">
        <w:rPr>
          <w:szCs w:val="24"/>
        </w:rPr>
        <w:t xml:space="preserve"> </w:t>
      </w:r>
      <w:r w:rsidR="00316C91">
        <w:rPr>
          <w:szCs w:val="24"/>
        </w:rPr>
        <w:t xml:space="preserve">We also judgmentally surveyed some higher areas </w:t>
      </w:r>
      <w:r>
        <w:rPr>
          <w:szCs w:val="24"/>
        </w:rPr>
        <w:t xml:space="preserve">for very early occupation sites </w:t>
      </w:r>
      <w:r>
        <w:rPr>
          <w:szCs w:val="24"/>
        </w:rPr>
        <w:lastRenderedPageBreak/>
        <w:t xml:space="preserve">(McLaren 2008; McLaren et al. 2011) and </w:t>
      </w:r>
      <w:r w:rsidR="00316C91">
        <w:rPr>
          <w:szCs w:val="24"/>
        </w:rPr>
        <w:t xml:space="preserve">for </w:t>
      </w:r>
      <w:r w:rsidR="003E7B18" w:rsidRPr="00A66575">
        <w:rPr>
          <w:szCs w:val="24"/>
        </w:rPr>
        <w:t>non-shell-bearing sites typically found in inland areas</w:t>
      </w:r>
      <w:r w:rsidR="00CC60A6">
        <w:rPr>
          <w:szCs w:val="24"/>
        </w:rPr>
        <w:t>,</w:t>
      </w:r>
      <w:r w:rsidR="003E7B18" w:rsidRPr="00A66575">
        <w:rPr>
          <w:szCs w:val="24"/>
        </w:rPr>
        <w:t xml:space="preserve"> such as rock shelters and cul</w:t>
      </w:r>
      <w:r w:rsidR="003E7B18">
        <w:rPr>
          <w:szCs w:val="24"/>
        </w:rPr>
        <w:t>turally modified trees.</w:t>
      </w:r>
      <w:r w:rsidR="00316C91">
        <w:rPr>
          <w:szCs w:val="24"/>
        </w:rPr>
        <w:t xml:space="preserve"> </w:t>
      </w:r>
      <w:r w:rsidR="003E7B18">
        <w:rPr>
          <w:szCs w:val="24"/>
        </w:rPr>
        <w:t>Primarily, however, our</w:t>
      </w:r>
      <w:r w:rsidR="00CA2635">
        <w:rPr>
          <w:szCs w:val="24"/>
        </w:rPr>
        <w:t xml:space="preserve"> survey methods focused on identifying shell-bearing sites through the examination of wave-cut banks at the </w:t>
      </w:r>
      <w:r w:rsidR="001A2547">
        <w:rPr>
          <w:szCs w:val="24"/>
        </w:rPr>
        <w:t>vegetation line</w:t>
      </w:r>
      <w:r w:rsidR="007445CE">
        <w:rPr>
          <w:szCs w:val="24"/>
        </w:rPr>
        <w:t xml:space="preserve"> </w:t>
      </w:r>
      <w:r w:rsidR="00CA2635">
        <w:rPr>
          <w:szCs w:val="24"/>
        </w:rPr>
        <w:t xml:space="preserve">and other exposures such as tree-throws or erosion faces and through subsurface testing at even intervals along target landforms with Oakfield soil probes. </w:t>
      </w:r>
      <w:r w:rsidR="00E4138A">
        <w:rPr>
          <w:szCs w:val="24"/>
        </w:rPr>
        <w:t xml:space="preserve">In many cases </w:t>
      </w:r>
      <w:r w:rsidR="007A09CF">
        <w:rPr>
          <w:szCs w:val="24"/>
        </w:rPr>
        <w:t xml:space="preserve">shell-bearing sites were identifiable through their surface topography; the largest sites are accumulations of shell up to </w:t>
      </w:r>
      <w:r w:rsidR="00A25479">
        <w:rPr>
          <w:szCs w:val="24"/>
        </w:rPr>
        <w:t xml:space="preserve">eight </w:t>
      </w:r>
      <w:r w:rsidR="00CB47B0">
        <w:rPr>
          <w:szCs w:val="24"/>
        </w:rPr>
        <w:t>met</w:t>
      </w:r>
      <w:r w:rsidR="00CC60A6">
        <w:rPr>
          <w:szCs w:val="24"/>
        </w:rPr>
        <w:t>re</w:t>
      </w:r>
      <w:r w:rsidR="00CB47B0">
        <w:rPr>
          <w:szCs w:val="24"/>
        </w:rPr>
        <w:t>s</w:t>
      </w:r>
      <w:r w:rsidR="007A09CF">
        <w:rPr>
          <w:szCs w:val="24"/>
        </w:rPr>
        <w:t xml:space="preserve"> in depth that form high ridges </w:t>
      </w:r>
      <w:r w:rsidR="00D40F67">
        <w:rPr>
          <w:szCs w:val="24"/>
        </w:rPr>
        <w:t xml:space="preserve">rising up from the natural forest floor </w:t>
      </w:r>
      <w:r w:rsidR="007A09CF">
        <w:rPr>
          <w:szCs w:val="24"/>
        </w:rPr>
        <w:t>around the back of the sites. These</w:t>
      </w:r>
      <w:r w:rsidR="00F16D4C">
        <w:rPr>
          <w:szCs w:val="24"/>
        </w:rPr>
        <w:t xml:space="preserve"> large sites often have rows of</w:t>
      </w:r>
      <w:r w:rsidR="00293800">
        <w:rPr>
          <w:szCs w:val="24"/>
        </w:rPr>
        <w:t xml:space="preserve"> </w:t>
      </w:r>
      <w:r w:rsidR="007A09CF">
        <w:rPr>
          <w:szCs w:val="24"/>
        </w:rPr>
        <w:t xml:space="preserve">rectangular surface depressions indicating the previous locations of </w:t>
      </w:r>
      <w:r w:rsidR="00351062">
        <w:rPr>
          <w:szCs w:val="24"/>
        </w:rPr>
        <w:t>houses</w:t>
      </w:r>
      <w:r w:rsidR="007A09CF">
        <w:rPr>
          <w:szCs w:val="24"/>
        </w:rPr>
        <w:t xml:space="preserve">. These depressions formed either through the excavation of shell midden material for the construction of the </w:t>
      </w:r>
      <w:r w:rsidR="00F36D5B">
        <w:rPr>
          <w:szCs w:val="24"/>
        </w:rPr>
        <w:t xml:space="preserve">structure </w:t>
      </w:r>
      <w:r w:rsidR="007A09CF">
        <w:rPr>
          <w:szCs w:val="24"/>
        </w:rPr>
        <w:t>or from the accumulation of shell and other debris around the outside of the standing structure</w:t>
      </w:r>
      <w:r w:rsidR="00CB47B0">
        <w:rPr>
          <w:szCs w:val="24"/>
        </w:rPr>
        <w:t xml:space="preserve"> (Archer 2001)</w:t>
      </w:r>
      <w:r w:rsidR="007A09CF">
        <w:rPr>
          <w:szCs w:val="24"/>
        </w:rPr>
        <w:t>.</w:t>
      </w:r>
      <w:r w:rsidR="00793CF5">
        <w:rPr>
          <w:szCs w:val="24"/>
        </w:rPr>
        <w:t xml:space="preserve"> </w:t>
      </w:r>
    </w:p>
    <w:p w14:paraId="2AB00009" w14:textId="01487670" w:rsidR="00A512F0" w:rsidRDefault="003E7B18" w:rsidP="005E1E4C">
      <w:pPr>
        <w:spacing w:after="0" w:line="480" w:lineRule="auto"/>
        <w:ind w:firstLine="720"/>
        <w:rPr>
          <w:szCs w:val="24"/>
        </w:rPr>
      </w:pPr>
      <w:r w:rsidRPr="00A66575">
        <w:rPr>
          <w:szCs w:val="24"/>
        </w:rPr>
        <w:t>Each site was mapped and -</w:t>
      </w:r>
      <w:r w:rsidR="00CC60A6">
        <w:rPr>
          <w:szCs w:val="24"/>
        </w:rPr>
        <w:t>-</w:t>
      </w:r>
      <w:r w:rsidRPr="00A66575">
        <w:rPr>
          <w:szCs w:val="24"/>
        </w:rPr>
        <w:t xml:space="preserve"> following Cannon (2000a, 2000b) -</w:t>
      </w:r>
      <w:r w:rsidR="00CC60A6">
        <w:rPr>
          <w:szCs w:val="24"/>
        </w:rPr>
        <w:t>-</w:t>
      </w:r>
      <w:r w:rsidRPr="00A66575">
        <w:rPr>
          <w:szCs w:val="24"/>
        </w:rPr>
        <w:t xml:space="preserve"> shell-bearing sites were </w:t>
      </w:r>
      <w:r w:rsidR="00A25479">
        <w:rPr>
          <w:szCs w:val="24"/>
        </w:rPr>
        <w:t xml:space="preserve">percussion </w:t>
      </w:r>
      <w:r w:rsidRPr="00A66575">
        <w:rPr>
          <w:szCs w:val="24"/>
        </w:rPr>
        <w:t xml:space="preserve">cored and </w:t>
      </w:r>
      <w:proofErr w:type="spellStart"/>
      <w:r w:rsidRPr="00A66575">
        <w:rPr>
          <w:szCs w:val="24"/>
        </w:rPr>
        <w:t>augered</w:t>
      </w:r>
      <w:proofErr w:type="spellEnd"/>
      <w:r w:rsidRPr="00A66575">
        <w:rPr>
          <w:szCs w:val="24"/>
        </w:rPr>
        <w:t xml:space="preserve"> to retrieve organic cultural material for radiocarbon </w:t>
      </w:r>
      <w:r w:rsidR="00A25479">
        <w:rPr>
          <w:szCs w:val="24"/>
        </w:rPr>
        <w:t>dating</w:t>
      </w:r>
      <w:r w:rsidRPr="00A66575">
        <w:rPr>
          <w:szCs w:val="24"/>
        </w:rPr>
        <w:t xml:space="preserve"> and to obtain </w:t>
      </w:r>
      <w:r w:rsidR="00F30D2B">
        <w:rPr>
          <w:szCs w:val="24"/>
        </w:rPr>
        <w:t xml:space="preserve">samples of </w:t>
      </w:r>
      <w:r w:rsidRPr="00A66575">
        <w:rPr>
          <w:szCs w:val="24"/>
        </w:rPr>
        <w:t xml:space="preserve">faunal </w:t>
      </w:r>
      <w:r w:rsidR="00F30D2B">
        <w:rPr>
          <w:szCs w:val="24"/>
        </w:rPr>
        <w:t xml:space="preserve">remains </w:t>
      </w:r>
      <w:r w:rsidRPr="00A66575">
        <w:rPr>
          <w:szCs w:val="24"/>
        </w:rPr>
        <w:t>for subsistence studies</w:t>
      </w:r>
      <w:r>
        <w:rPr>
          <w:szCs w:val="24"/>
        </w:rPr>
        <w:t xml:space="preserve"> (Brewster and Martindale 2011; Martindale et al. 2009). </w:t>
      </w:r>
      <w:r w:rsidR="00F30D2B">
        <w:rPr>
          <w:szCs w:val="24"/>
        </w:rPr>
        <w:t xml:space="preserve">Percussion core samples allowed for an </w:t>
      </w:r>
      <w:r w:rsidR="00BF678A">
        <w:rPr>
          <w:szCs w:val="24"/>
        </w:rPr>
        <w:t xml:space="preserve">efficient </w:t>
      </w:r>
      <w:r w:rsidR="00CB47B0">
        <w:rPr>
          <w:szCs w:val="24"/>
        </w:rPr>
        <w:t xml:space="preserve">but coarse </w:t>
      </w:r>
      <w:r w:rsidR="00F30D2B">
        <w:rPr>
          <w:szCs w:val="24"/>
        </w:rPr>
        <w:t>assessment of the stratigraphy of the sites and targeted radiocarbon dating of the b</w:t>
      </w:r>
      <w:r w:rsidR="00CB47B0">
        <w:rPr>
          <w:szCs w:val="24"/>
        </w:rPr>
        <w:t xml:space="preserve">asal </w:t>
      </w:r>
      <w:r w:rsidR="00F30D2B">
        <w:rPr>
          <w:szCs w:val="24"/>
        </w:rPr>
        <w:t>and t</w:t>
      </w:r>
      <w:r w:rsidR="00CB47B0">
        <w:rPr>
          <w:szCs w:val="24"/>
        </w:rPr>
        <w:t>erminal</w:t>
      </w:r>
      <w:r w:rsidR="00F30D2B">
        <w:rPr>
          <w:szCs w:val="24"/>
        </w:rPr>
        <w:t xml:space="preserve"> </w:t>
      </w:r>
      <w:r w:rsidR="00CB47B0">
        <w:rPr>
          <w:szCs w:val="24"/>
        </w:rPr>
        <w:t>components</w:t>
      </w:r>
      <w:r w:rsidR="00F30D2B">
        <w:rPr>
          <w:szCs w:val="24"/>
        </w:rPr>
        <w:t>.</w:t>
      </w:r>
      <w:r w:rsidRPr="00A66575">
        <w:rPr>
          <w:szCs w:val="24"/>
        </w:rPr>
        <w:t xml:space="preserve"> </w:t>
      </w:r>
      <w:r w:rsidR="00E110F7">
        <w:rPr>
          <w:szCs w:val="24"/>
        </w:rPr>
        <w:t xml:space="preserve">Percussion coring does not readily allow for the recovery of artifacts, and we only conducted a few small-scale excavations that yielded few artifacts (Martindale et al. 2010; McLaren 2008), so comparisons with </w:t>
      </w:r>
      <w:r w:rsidR="00660032">
        <w:rPr>
          <w:szCs w:val="24"/>
        </w:rPr>
        <w:t xml:space="preserve">other </w:t>
      </w:r>
      <w:r w:rsidR="00E110F7">
        <w:rPr>
          <w:szCs w:val="24"/>
        </w:rPr>
        <w:t xml:space="preserve">excavated archaeological datasets are limited. </w:t>
      </w:r>
      <w:r w:rsidR="00F30D2B">
        <w:rPr>
          <w:szCs w:val="24"/>
        </w:rPr>
        <w:t xml:space="preserve">The following analysis focuses on the variability of occupational site types recorded in the Dundas Islands surveys and the chronological patterns </w:t>
      </w:r>
      <w:r w:rsidR="00FF68C2">
        <w:rPr>
          <w:szCs w:val="24"/>
        </w:rPr>
        <w:t>observable</w:t>
      </w:r>
      <w:r w:rsidR="00D40F67">
        <w:rPr>
          <w:szCs w:val="24"/>
        </w:rPr>
        <w:t xml:space="preserve"> by </w:t>
      </w:r>
      <w:r w:rsidR="00F30D2B">
        <w:rPr>
          <w:szCs w:val="24"/>
        </w:rPr>
        <w:t xml:space="preserve">radiocarbon dating a sample of </w:t>
      </w:r>
      <w:r w:rsidR="00F30D2B">
        <w:rPr>
          <w:szCs w:val="24"/>
        </w:rPr>
        <w:lastRenderedPageBreak/>
        <w:t>sites</w:t>
      </w:r>
      <w:r w:rsidR="00D40F67">
        <w:rPr>
          <w:szCs w:val="24"/>
        </w:rPr>
        <w:t>. We</w:t>
      </w:r>
      <w:r w:rsidR="00F30D2B">
        <w:rPr>
          <w:szCs w:val="24"/>
        </w:rPr>
        <w:t xml:space="preserve"> examine the scale of settlement as well as how this settlement changed through time on these islands.</w:t>
      </w:r>
    </w:p>
    <w:p w14:paraId="3CFE2E04" w14:textId="77777777" w:rsidR="00A757C2" w:rsidRDefault="00A757C2" w:rsidP="005E1E4C">
      <w:pPr>
        <w:spacing w:after="0" w:line="480" w:lineRule="auto"/>
        <w:rPr>
          <w:szCs w:val="24"/>
        </w:rPr>
      </w:pPr>
    </w:p>
    <w:p w14:paraId="7E3813A2" w14:textId="77777777" w:rsidR="00A757C2" w:rsidRPr="00361DB3" w:rsidRDefault="00645074" w:rsidP="005E1E4C">
      <w:pPr>
        <w:spacing w:after="0" w:line="480" w:lineRule="auto"/>
        <w:rPr>
          <w:szCs w:val="24"/>
        </w:rPr>
      </w:pPr>
      <w:r w:rsidRPr="00645074">
        <w:rPr>
          <w:szCs w:val="24"/>
        </w:rPr>
        <w:t>RESULTS: SHELL-BEARING SITE DIVERSITY ON THE DUNDAS ISLANDS</w:t>
      </w:r>
    </w:p>
    <w:p w14:paraId="4856394B" w14:textId="53CB932A" w:rsidR="00A757C2" w:rsidRDefault="00F16D4C" w:rsidP="005E1E4C">
      <w:pPr>
        <w:spacing w:after="0" w:line="480" w:lineRule="auto"/>
        <w:rPr>
          <w:szCs w:val="24"/>
        </w:rPr>
      </w:pPr>
      <w:r>
        <w:rPr>
          <w:szCs w:val="24"/>
        </w:rPr>
        <w:tab/>
        <w:t xml:space="preserve">As the </w:t>
      </w:r>
      <w:r w:rsidR="00A757C2">
        <w:rPr>
          <w:szCs w:val="24"/>
        </w:rPr>
        <w:t>early surveys of the Dundas Islands group</w:t>
      </w:r>
      <w:r w:rsidR="00A46F5E">
        <w:rPr>
          <w:szCs w:val="24"/>
        </w:rPr>
        <w:t xml:space="preserve"> indicated</w:t>
      </w:r>
      <w:r w:rsidR="00A757C2">
        <w:rPr>
          <w:szCs w:val="24"/>
        </w:rPr>
        <w:t>, there is a ri</w:t>
      </w:r>
      <w:r>
        <w:rPr>
          <w:szCs w:val="24"/>
        </w:rPr>
        <w:t>ch archaeological record directly above</w:t>
      </w:r>
      <w:r w:rsidR="00A757C2">
        <w:rPr>
          <w:szCs w:val="24"/>
        </w:rPr>
        <w:t xml:space="preserve"> the current shoreline and </w:t>
      </w:r>
      <w:proofErr w:type="spellStart"/>
      <w:r w:rsidR="00A757C2">
        <w:rPr>
          <w:szCs w:val="24"/>
        </w:rPr>
        <w:t>paleoshorelines</w:t>
      </w:r>
      <w:proofErr w:type="spellEnd"/>
      <w:r w:rsidR="00D27676">
        <w:rPr>
          <w:szCs w:val="24"/>
        </w:rPr>
        <w:t xml:space="preserve"> that</w:t>
      </w:r>
      <w:r w:rsidR="00361DB3">
        <w:rPr>
          <w:szCs w:val="24"/>
        </w:rPr>
        <w:t xml:space="preserve"> </w:t>
      </w:r>
      <w:r w:rsidR="00D40F67">
        <w:rPr>
          <w:szCs w:val="24"/>
        </w:rPr>
        <w:t>show</w:t>
      </w:r>
      <w:r w:rsidR="00361DB3">
        <w:rPr>
          <w:szCs w:val="24"/>
        </w:rPr>
        <w:t>s</w:t>
      </w:r>
      <w:r w:rsidR="00D40F67">
        <w:rPr>
          <w:szCs w:val="24"/>
        </w:rPr>
        <w:t xml:space="preserve"> </w:t>
      </w:r>
      <w:r w:rsidR="008628A2">
        <w:rPr>
          <w:szCs w:val="24"/>
        </w:rPr>
        <w:t>intensive occupation and land use in ancient times</w:t>
      </w:r>
      <w:r w:rsidR="00A757C2">
        <w:rPr>
          <w:szCs w:val="24"/>
        </w:rPr>
        <w:t xml:space="preserve">. Cumulatively </w:t>
      </w:r>
      <w:r w:rsidR="00D40F67">
        <w:rPr>
          <w:szCs w:val="24"/>
        </w:rPr>
        <w:t xml:space="preserve">from </w:t>
      </w:r>
      <w:r w:rsidR="00A757C2">
        <w:rPr>
          <w:szCs w:val="24"/>
        </w:rPr>
        <w:t xml:space="preserve">the archaeological surveys of the </w:t>
      </w:r>
      <w:r w:rsidR="00284074">
        <w:rPr>
          <w:szCs w:val="24"/>
        </w:rPr>
        <w:t>archipelago</w:t>
      </w:r>
      <w:r w:rsidR="000150CA">
        <w:rPr>
          <w:szCs w:val="24"/>
        </w:rPr>
        <w:t xml:space="preserve"> there are currently ninety-seven</w:t>
      </w:r>
      <w:r w:rsidR="00A757C2">
        <w:rPr>
          <w:szCs w:val="24"/>
        </w:rPr>
        <w:t xml:space="preserve"> recorded sites (</w:t>
      </w:r>
      <w:r w:rsidR="00A757C2" w:rsidRPr="007445CE">
        <w:rPr>
          <w:szCs w:val="24"/>
        </w:rPr>
        <w:t xml:space="preserve">Figure </w:t>
      </w:r>
      <w:r w:rsidR="00FF68C2" w:rsidRPr="007445CE">
        <w:rPr>
          <w:szCs w:val="24"/>
        </w:rPr>
        <w:t>2</w:t>
      </w:r>
      <w:r w:rsidR="00A757C2">
        <w:rPr>
          <w:szCs w:val="24"/>
        </w:rPr>
        <w:t>)</w:t>
      </w:r>
      <w:r w:rsidR="00BF678A">
        <w:rPr>
          <w:szCs w:val="24"/>
        </w:rPr>
        <w:t xml:space="preserve">, </w:t>
      </w:r>
      <w:r w:rsidR="00A757C2">
        <w:rPr>
          <w:szCs w:val="24"/>
        </w:rPr>
        <w:t>consist</w:t>
      </w:r>
      <w:r w:rsidR="00BF678A">
        <w:rPr>
          <w:szCs w:val="24"/>
        </w:rPr>
        <w:t>ing</w:t>
      </w:r>
      <w:r w:rsidR="00A757C2">
        <w:rPr>
          <w:szCs w:val="24"/>
        </w:rPr>
        <w:t xml:space="preserve"> of multiple archaeological features, including culturally modified trees, scatters of lithic tools and debitage, stone fish traps, canoe skids, rock shelters, </w:t>
      </w:r>
      <w:r w:rsidR="00B16C63">
        <w:rPr>
          <w:szCs w:val="24"/>
        </w:rPr>
        <w:t>standing historic cabins</w:t>
      </w:r>
      <w:r w:rsidR="00A757C2">
        <w:rPr>
          <w:szCs w:val="24"/>
        </w:rPr>
        <w:t>,</w:t>
      </w:r>
      <w:r w:rsidR="00B16C63">
        <w:rPr>
          <w:szCs w:val="24"/>
        </w:rPr>
        <w:t xml:space="preserve"> and shell-bearing </w:t>
      </w:r>
      <w:r w:rsidR="00A25479">
        <w:rPr>
          <w:szCs w:val="24"/>
        </w:rPr>
        <w:t>deposits</w:t>
      </w:r>
      <w:r w:rsidR="00897F42">
        <w:rPr>
          <w:szCs w:val="24"/>
        </w:rPr>
        <w:t>.</w:t>
      </w:r>
      <w:r w:rsidR="00284074">
        <w:rPr>
          <w:szCs w:val="24"/>
        </w:rPr>
        <w:t xml:space="preserve"> </w:t>
      </w:r>
      <w:r w:rsidR="00897F42">
        <w:rPr>
          <w:szCs w:val="24"/>
        </w:rPr>
        <w:t xml:space="preserve">All </w:t>
      </w:r>
      <w:r w:rsidR="00D40F67">
        <w:rPr>
          <w:szCs w:val="24"/>
        </w:rPr>
        <w:t xml:space="preserve">are </w:t>
      </w:r>
      <w:r w:rsidR="00A25479">
        <w:rPr>
          <w:szCs w:val="24"/>
        </w:rPr>
        <w:t>evidence</w:t>
      </w:r>
      <w:r w:rsidR="00284074">
        <w:rPr>
          <w:szCs w:val="24"/>
        </w:rPr>
        <w:t xml:space="preserve"> </w:t>
      </w:r>
      <w:r w:rsidR="00A25479">
        <w:rPr>
          <w:szCs w:val="24"/>
        </w:rPr>
        <w:t>of</w:t>
      </w:r>
      <w:r w:rsidR="00284074">
        <w:rPr>
          <w:szCs w:val="24"/>
        </w:rPr>
        <w:t xml:space="preserve"> </w:t>
      </w:r>
      <w:r w:rsidR="00C9693C">
        <w:rPr>
          <w:szCs w:val="24"/>
        </w:rPr>
        <w:t>a long history of occupation by people well</w:t>
      </w:r>
      <w:r w:rsidR="00361DB3">
        <w:rPr>
          <w:szCs w:val="24"/>
        </w:rPr>
        <w:t xml:space="preserve"> </w:t>
      </w:r>
      <w:r w:rsidR="00C9693C">
        <w:rPr>
          <w:szCs w:val="24"/>
        </w:rPr>
        <w:t>adapted to thriving on this offshore island landscape</w:t>
      </w:r>
      <w:r w:rsidR="00B16C63">
        <w:rPr>
          <w:szCs w:val="24"/>
        </w:rPr>
        <w:t>.</w:t>
      </w:r>
    </w:p>
    <w:p w14:paraId="2EE0CD6F" w14:textId="29B04399" w:rsidR="00C9693C" w:rsidRDefault="00C9693C" w:rsidP="005E1E4C">
      <w:pPr>
        <w:spacing w:after="0" w:line="480" w:lineRule="auto"/>
        <w:rPr>
          <w:szCs w:val="24"/>
        </w:rPr>
      </w:pPr>
      <w:r>
        <w:rPr>
          <w:szCs w:val="24"/>
        </w:rPr>
        <w:tab/>
        <w:t xml:space="preserve">Over half of the recorded sites on the Dundas Islands have subsurface shell-bearing components (n=54, 56 percent). This result is partly </w:t>
      </w:r>
      <w:r w:rsidR="00934BA3">
        <w:rPr>
          <w:szCs w:val="24"/>
        </w:rPr>
        <w:t>because</w:t>
      </w:r>
      <w:r>
        <w:rPr>
          <w:szCs w:val="24"/>
        </w:rPr>
        <w:t xml:space="preserve"> our survey methods targeted shell-bearing sites (Martindale et al. 2010), and par</w:t>
      </w:r>
      <w:r w:rsidR="00CB47B0">
        <w:rPr>
          <w:szCs w:val="24"/>
        </w:rPr>
        <w:t>t</w:t>
      </w:r>
      <w:r>
        <w:rPr>
          <w:szCs w:val="24"/>
        </w:rPr>
        <w:t xml:space="preserve">ly </w:t>
      </w:r>
      <w:r w:rsidR="00934BA3">
        <w:rPr>
          <w:szCs w:val="24"/>
        </w:rPr>
        <w:t>because</w:t>
      </w:r>
      <w:r>
        <w:rPr>
          <w:szCs w:val="24"/>
        </w:rPr>
        <w:t xml:space="preserve"> shell is one of the most</w:t>
      </w:r>
      <w:r w:rsidR="00B75D2A">
        <w:rPr>
          <w:szCs w:val="24"/>
        </w:rPr>
        <w:t xml:space="preserve"> ubiquitous,</w:t>
      </w:r>
      <w:r>
        <w:rPr>
          <w:szCs w:val="24"/>
        </w:rPr>
        <w:t xml:space="preserve"> easily preserved</w:t>
      </w:r>
      <w:r w:rsidR="00B75D2A">
        <w:rPr>
          <w:szCs w:val="24"/>
        </w:rPr>
        <w:t>,</w:t>
      </w:r>
      <w:r>
        <w:rPr>
          <w:szCs w:val="24"/>
        </w:rPr>
        <w:t xml:space="preserve"> and</w:t>
      </w:r>
      <w:r w:rsidR="00934BA3">
        <w:rPr>
          <w:szCs w:val="24"/>
        </w:rPr>
        <w:t xml:space="preserve"> </w:t>
      </w:r>
      <w:r>
        <w:rPr>
          <w:szCs w:val="24"/>
        </w:rPr>
        <w:t>easily identified archaeological material</w:t>
      </w:r>
      <w:r w:rsidR="00A25479">
        <w:rPr>
          <w:szCs w:val="24"/>
        </w:rPr>
        <w:t>s</w:t>
      </w:r>
      <w:r>
        <w:rPr>
          <w:szCs w:val="24"/>
        </w:rPr>
        <w:t xml:space="preserve"> in the</w:t>
      </w:r>
      <w:r w:rsidR="00934BA3">
        <w:rPr>
          <w:szCs w:val="24"/>
        </w:rPr>
        <w:t xml:space="preserve"> Northwest Coast’s</w:t>
      </w:r>
      <w:r>
        <w:rPr>
          <w:szCs w:val="24"/>
        </w:rPr>
        <w:t xml:space="preserve"> highly acidic soils (Stein 1992). </w:t>
      </w:r>
      <w:r w:rsidR="00934BA3">
        <w:rPr>
          <w:szCs w:val="24"/>
        </w:rPr>
        <w:t xml:space="preserve">As a result, </w:t>
      </w:r>
      <w:r w:rsidR="0039221A">
        <w:rPr>
          <w:szCs w:val="24"/>
        </w:rPr>
        <w:t>such s</w:t>
      </w:r>
      <w:r w:rsidR="002D2116">
        <w:rPr>
          <w:szCs w:val="24"/>
        </w:rPr>
        <w:t>ites are well represented in our</w:t>
      </w:r>
      <w:r w:rsidR="0039221A">
        <w:rPr>
          <w:szCs w:val="24"/>
        </w:rPr>
        <w:t xml:space="preserve"> sample, while </w:t>
      </w:r>
      <w:r w:rsidR="00934BA3">
        <w:rPr>
          <w:szCs w:val="24"/>
        </w:rPr>
        <w:t xml:space="preserve">our survey </w:t>
      </w:r>
      <w:r w:rsidR="0039221A">
        <w:rPr>
          <w:szCs w:val="24"/>
        </w:rPr>
        <w:t xml:space="preserve">likely </w:t>
      </w:r>
      <w:r w:rsidR="00934BA3">
        <w:rPr>
          <w:szCs w:val="24"/>
        </w:rPr>
        <w:t xml:space="preserve">missed </w:t>
      </w:r>
      <w:r w:rsidR="00BF678A">
        <w:rPr>
          <w:szCs w:val="24"/>
        </w:rPr>
        <w:t xml:space="preserve">more deeply </w:t>
      </w:r>
      <w:r w:rsidR="00450CDD">
        <w:rPr>
          <w:szCs w:val="24"/>
        </w:rPr>
        <w:t xml:space="preserve">buried sites </w:t>
      </w:r>
      <w:r w:rsidR="00BF678A">
        <w:rPr>
          <w:szCs w:val="24"/>
        </w:rPr>
        <w:t xml:space="preserve">or those </w:t>
      </w:r>
      <w:r w:rsidR="00450CDD">
        <w:rPr>
          <w:szCs w:val="24"/>
        </w:rPr>
        <w:t>with slight</w:t>
      </w:r>
      <w:r w:rsidR="00B75D2A">
        <w:rPr>
          <w:szCs w:val="24"/>
        </w:rPr>
        <w:t>er</w:t>
      </w:r>
      <w:r w:rsidR="00450CDD">
        <w:rPr>
          <w:szCs w:val="24"/>
        </w:rPr>
        <w:t xml:space="preserve"> material </w:t>
      </w:r>
      <w:r w:rsidR="00934BA3">
        <w:rPr>
          <w:szCs w:val="24"/>
        </w:rPr>
        <w:t>traces</w:t>
      </w:r>
      <w:r w:rsidR="00B763CA">
        <w:rPr>
          <w:szCs w:val="24"/>
        </w:rPr>
        <w:t>, such as lithic scatters</w:t>
      </w:r>
      <w:r w:rsidR="00450CDD">
        <w:rPr>
          <w:szCs w:val="24"/>
        </w:rPr>
        <w:t xml:space="preserve">. </w:t>
      </w:r>
      <w:r w:rsidR="00AF1B10">
        <w:rPr>
          <w:szCs w:val="24"/>
        </w:rPr>
        <w:t>However, many of the shell-bearing sites are massive, and</w:t>
      </w:r>
      <w:r w:rsidR="002D2116">
        <w:rPr>
          <w:szCs w:val="24"/>
        </w:rPr>
        <w:t xml:space="preserve"> </w:t>
      </w:r>
      <w:r w:rsidR="00AF1B10">
        <w:rPr>
          <w:szCs w:val="24"/>
        </w:rPr>
        <w:t xml:space="preserve">many </w:t>
      </w:r>
      <w:r w:rsidR="002D2116">
        <w:rPr>
          <w:szCs w:val="24"/>
        </w:rPr>
        <w:t>mark past</w:t>
      </w:r>
      <w:r w:rsidR="00B75D2A">
        <w:rPr>
          <w:szCs w:val="24"/>
        </w:rPr>
        <w:t xml:space="preserve"> village</w:t>
      </w:r>
      <w:r w:rsidR="002D2116">
        <w:rPr>
          <w:szCs w:val="24"/>
        </w:rPr>
        <w:t xml:space="preserve"> locations</w:t>
      </w:r>
      <w:r w:rsidR="007445CE">
        <w:rPr>
          <w:szCs w:val="24"/>
        </w:rPr>
        <w:t>.</w:t>
      </w:r>
      <w:r w:rsidR="00AF1B10">
        <w:rPr>
          <w:szCs w:val="24"/>
        </w:rPr>
        <w:t xml:space="preserve"> </w:t>
      </w:r>
      <w:r w:rsidR="007445CE">
        <w:rPr>
          <w:szCs w:val="24"/>
        </w:rPr>
        <w:t xml:space="preserve">They were significant settlement locations, and </w:t>
      </w:r>
      <w:r w:rsidR="00AF1B10">
        <w:rPr>
          <w:szCs w:val="24"/>
        </w:rPr>
        <w:t xml:space="preserve">therefore </w:t>
      </w:r>
      <w:r w:rsidR="00450CDD">
        <w:rPr>
          <w:szCs w:val="24"/>
        </w:rPr>
        <w:t>warrant detailed analysis.</w:t>
      </w:r>
    </w:p>
    <w:p w14:paraId="0135F757" w14:textId="77777777" w:rsidR="00F90128" w:rsidRDefault="00450CDD" w:rsidP="005E1E4C">
      <w:pPr>
        <w:spacing w:after="0" w:line="480" w:lineRule="auto"/>
        <w:rPr>
          <w:szCs w:val="24"/>
        </w:rPr>
      </w:pPr>
      <w:r>
        <w:rPr>
          <w:szCs w:val="24"/>
        </w:rPr>
        <w:tab/>
      </w:r>
      <w:r w:rsidRPr="00A66575">
        <w:rPr>
          <w:szCs w:val="24"/>
        </w:rPr>
        <w:t xml:space="preserve"> </w:t>
      </w:r>
      <w:r w:rsidR="00AF1B10">
        <w:rPr>
          <w:szCs w:val="24"/>
        </w:rPr>
        <w:t xml:space="preserve">There is a </w:t>
      </w:r>
      <w:r w:rsidRPr="00A66575">
        <w:rPr>
          <w:szCs w:val="24"/>
        </w:rPr>
        <w:t>great diversity in size, shape, and</w:t>
      </w:r>
      <w:r>
        <w:rPr>
          <w:szCs w:val="24"/>
        </w:rPr>
        <w:t xml:space="preserve"> surface features of the shell-bearing sites;</w:t>
      </w:r>
      <w:r w:rsidRPr="00A66575">
        <w:rPr>
          <w:szCs w:val="24"/>
        </w:rPr>
        <w:t xml:space="preserve"> they are n</w:t>
      </w:r>
      <w:r w:rsidR="00B75D2A">
        <w:rPr>
          <w:szCs w:val="24"/>
        </w:rPr>
        <w:t>either</w:t>
      </w:r>
      <w:r w:rsidRPr="00A66575">
        <w:rPr>
          <w:szCs w:val="24"/>
        </w:rPr>
        <w:t xml:space="preserve"> homogenous deposits</w:t>
      </w:r>
      <w:r>
        <w:rPr>
          <w:szCs w:val="24"/>
        </w:rPr>
        <w:t xml:space="preserve"> </w:t>
      </w:r>
      <w:r w:rsidR="00B75D2A">
        <w:rPr>
          <w:szCs w:val="24"/>
        </w:rPr>
        <w:t>n</w:t>
      </w:r>
      <w:r>
        <w:rPr>
          <w:szCs w:val="24"/>
        </w:rPr>
        <w:t>or the result</w:t>
      </w:r>
      <w:r w:rsidRPr="00A66575">
        <w:rPr>
          <w:szCs w:val="24"/>
        </w:rPr>
        <w:t xml:space="preserve"> of </w:t>
      </w:r>
      <w:r w:rsidR="00B75D2A">
        <w:rPr>
          <w:szCs w:val="24"/>
        </w:rPr>
        <w:t>identical</w:t>
      </w:r>
      <w:r w:rsidRPr="00A66575">
        <w:rPr>
          <w:szCs w:val="24"/>
        </w:rPr>
        <w:t xml:space="preserve"> depositional behaviours (</w:t>
      </w:r>
      <w:r w:rsidR="002E4B63">
        <w:rPr>
          <w:szCs w:val="24"/>
        </w:rPr>
        <w:t xml:space="preserve">cf. </w:t>
      </w:r>
      <w:proofErr w:type="spellStart"/>
      <w:r w:rsidRPr="00A66575">
        <w:rPr>
          <w:szCs w:val="24"/>
        </w:rPr>
        <w:t>Claassen</w:t>
      </w:r>
      <w:proofErr w:type="spellEnd"/>
      <w:r w:rsidRPr="00A66575">
        <w:rPr>
          <w:szCs w:val="24"/>
        </w:rPr>
        <w:t xml:space="preserve"> 1</w:t>
      </w:r>
      <w:r>
        <w:rPr>
          <w:szCs w:val="24"/>
        </w:rPr>
        <w:t xml:space="preserve">991; </w:t>
      </w:r>
      <w:proofErr w:type="spellStart"/>
      <w:r>
        <w:rPr>
          <w:szCs w:val="24"/>
        </w:rPr>
        <w:t>Letham</w:t>
      </w:r>
      <w:proofErr w:type="spellEnd"/>
      <w:r>
        <w:rPr>
          <w:szCs w:val="24"/>
        </w:rPr>
        <w:t xml:space="preserve"> 2014</w:t>
      </w:r>
      <w:r w:rsidRPr="00A66575">
        <w:rPr>
          <w:szCs w:val="24"/>
        </w:rPr>
        <w:t xml:space="preserve">; </w:t>
      </w:r>
      <w:proofErr w:type="spellStart"/>
      <w:r w:rsidRPr="00A66575">
        <w:rPr>
          <w:szCs w:val="24"/>
        </w:rPr>
        <w:t>Waselkov</w:t>
      </w:r>
      <w:proofErr w:type="spellEnd"/>
      <w:r w:rsidRPr="00A66575">
        <w:rPr>
          <w:szCs w:val="24"/>
        </w:rPr>
        <w:t xml:space="preserve"> 1987). </w:t>
      </w:r>
      <w:r w:rsidR="002E4B63">
        <w:rPr>
          <w:szCs w:val="24"/>
        </w:rPr>
        <w:t>Consequently, w</w:t>
      </w:r>
      <w:r w:rsidR="002E4B63" w:rsidRPr="00A66575">
        <w:rPr>
          <w:szCs w:val="24"/>
        </w:rPr>
        <w:t xml:space="preserve">e </w:t>
      </w:r>
      <w:r w:rsidRPr="00A66575">
        <w:rPr>
          <w:szCs w:val="24"/>
        </w:rPr>
        <w:t xml:space="preserve">suggest that many of these </w:t>
      </w:r>
      <w:r w:rsidRPr="00A66575">
        <w:rPr>
          <w:szCs w:val="24"/>
        </w:rPr>
        <w:lastRenderedPageBreak/>
        <w:t xml:space="preserve">sites are much more than just middens as per the formal definition of the word: places of primary discard for food byproducts (see </w:t>
      </w:r>
      <w:proofErr w:type="spellStart"/>
      <w:r w:rsidRPr="00A66575">
        <w:rPr>
          <w:szCs w:val="24"/>
        </w:rPr>
        <w:t>Claassen</w:t>
      </w:r>
      <w:proofErr w:type="spellEnd"/>
      <w:r w:rsidRPr="00A66575">
        <w:rPr>
          <w:szCs w:val="24"/>
        </w:rPr>
        <w:t xml:space="preserve"> 1991; Stein 1992:6).</w:t>
      </w:r>
      <w:r w:rsidR="00BD4BC7">
        <w:rPr>
          <w:szCs w:val="24"/>
        </w:rPr>
        <w:t xml:space="preserve"> </w:t>
      </w:r>
      <w:r w:rsidR="00C87AD3">
        <w:rPr>
          <w:szCs w:val="24"/>
        </w:rPr>
        <w:t>Additionally,</w:t>
      </w:r>
      <w:r w:rsidR="00B75D2A">
        <w:rPr>
          <w:szCs w:val="24"/>
        </w:rPr>
        <w:t xml:space="preserve"> s</w:t>
      </w:r>
      <w:r w:rsidR="00BD4BC7" w:rsidRPr="00A66575">
        <w:rPr>
          <w:szCs w:val="24"/>
        </w:rPr>
        <w:t>hell accumulations can be natural phenomena, although the biogenic and anthropogenic shell deposits are usually distinguishable</w:t>
      </w:r>
      <w:r w:rsidR="00C87CCF">
        <w:rPr>
          <w:szCs w:val="24"/>
        </w:rPr>
        <w:t xml:space="preserve"> (Erlandson and Moss 2001)</w:t>
      </w:r>
      <w:r w:rsidR="00BD4BC7" w:rsidRPr="00A66575">
        <w:rPr>
          <w:szCs w:val="24"/>
        </w:rPr>
        <w:t xml:space="preserve">. All shell-bearing sites recorded in the </w:t>
      </w:r>
      <w:r w:rsidR="00FF68C2">
        <w:rPr>
          <w:szCs w:val="24"/>
        </w:rPr>
        <w:t>Dundas Islands Archaeological Project</w:t>
      </w:r>
      <w:r w:rsidR="00FF68C2" w:rsidRPr="00A66575">
        <w:rPr>
          <w:szCs w:val="24"/>
        </w:rPr>
        <w:t xml:space="preserve"> </w:t>
      </w:r>
      <w:r w:rsidR="00BD4BC7" w:rsidRPr="00A66575">
        <w:rPr>
          <w:szCs w:val="24"/>
        </w:rPr>
        <w:t xml:space="preserve">survey were evaluated as being </w:t>
      </w:r>
      <w:r w:rsidR="00B763CA">
        <w:rPr>
          <w:szCs w:val="24"/>
        </w:rPr>
        <w:t>anthropogenic</w:t>
      </w:r>
      <w:r w:rsidR="00BD4BC7" w:rsidRPr="00A66575">
        <w:rPr>
          <w:szCs w:val="24"/>
        </w:rPr>
        <w:t>.</w:t>
      </w:r>
      <w:r w:rsidR="0051208B">
        <w:rPr>
          <w:szCs w:val="24"/>
        </w:rPr>
        <w:t xml:space="preserve"> </w:t>
      </w:r>
    </w:p>
    <w:p w14:paraId="0E5E7A2F" w14:textId="53F462B4" w:rsidR="00241E9B" w:rsidRDefault="0051208B" w:rsidP="005E1E4C">
      <w:pPr>
        <w:spacing w:after="0" w:line="480" w:lineRule="auto"/>
        <w:ind w:firstLine="720"/>
        <w:rPr>
          <w:szCs w:val="24"/>
        </w:rPr>
      </w:pPr>
      <w:r w:rsidRPr="00A66575">
        <w:rPr>
          <w:szCs w:val="24"/>
        </w:rPr>
        <w:t>At the most basic level, we divide shell-bearing sites into those with surface house depressions (n=15</w:t>
      </w:r>
      <w:r>
        <w:rPr>
          <w:szCs w:val="24"/>
        </w:rPr>
        <w:t>; 28 percent of all shell-bearing sites</w:t>
      </w:r>
      <w:r w:rsidRPr="00A66575">
        <w:rPr>
          <w:szCs w:val="24"/>
        </w:rPr>
        <w:t>), which we term villages when there are more than a single depression</w:t>
      </w:r>
      <w:r>
        <w:rPr>
          <w:rStyle w:val="FootnoteReference"/>
          <w:szCs w:val="24"/>
        </w:rPr>
        <w:footnoteReference w:id="5"/>
      </w:r>
      <w:r w:rsidRPr="00A66575">
        <w:rPr>
          <w:szCs w:val="24"/>
        </w:rPr>
        <w:t>, and those without (n=39</w:t>
      </w:r>
      <w:r>
        <w:rPr>
          <w:szCs w:val="24"/>
        </w:rPr>
        <w:t>, 72 percent of all shell-bearing sites</w:t>
      </w:r>
      <w:r w:rsidRPr="00A66575">
        <w:rPr>
          <w:szCs w:val="24"/>
        </w:rPr>
        <w:t xml:space="preserve">), which are usually smaller than villages and </w:t>
      </w:r>
      <w:r w:rsidR="00241E9B">
        <w:rPr>
          <w:szCs w:val="24"/>
        </w:rPr>
        <w:t xml:space="preserve">likely </w:t>
      </w:r>
      <w:r w:rsidRPr="00A66575">
        <w:rPr>
          <w:szCs w:val="24"/>
        </w:rPr>
        <w:t xml:space="preserve">represent </w:t>
      </w:r>
      <w:r>
        <w:rPr>
          <w:szCs w:val="24"/>
        </w:rPr>
        <w:t xml:space="preserve">smaller </w:t>
      </w:r>
      <w:r w:rsidRPr="00A66575">
        <w:rPr>
          <w:szCs w:val="24"/>
        </w:rPr>
        <w:t>camps</w:t>
      </w:r>
      <w:r>
        <w:rPr>
          <w:szCs w:val="24"/>
        </w:rPr>
        <w:t xml:space="preserve"> or refuse </w:t>
      </w:r>
      <w:r w:rsidR="00007F94">
        <w:rPr>
          <w:szCs w:val="24"/>
        </w:rPr>
        <w:t>middens</w:t>
      </w:r>
      <w:r w:rsidRPr="00A66575">
        <w:rPr>
          <w:szCs w:val="24"/>
        </w:rPr>
        <w:t>. However</w:t>
      </w:r>
      <w:r w:rsidR="00241E9B">
        <w:rPr>
          <w:szCs w:val="24"/>
        </w:rPr>
        <w:t>,</w:t>
      </w:r>
      <w:r w:rsidRPr="00A66575">
        <w:rPr>
          <w:szCs w:val="24"/>
        </w:rPr>
        <w:t xml:space="preserve"> there is diversity even wit</w:t>
      </w:r>
      <w:r>
        <w:rPr>
          <w:szCs w:val="24"/>
        </w:rPr>
        <w:t xml:space="preserve">hin this basic </w:t>
      </w:r>
      <w:r w:rsidR="00F54CD0">
        <w:rPr>
          <w:szCs w:val="24"/>
        </w:rPr>
        <w:t>division</w:t>
      </w:r>
      <w:r w:rsidRPr="00A66575">
        <w:rPr>
          <w:szCs w:val="24"/>
        </w:rPr>
        <w:t xml:space="preserve">. </w:t>
      </w:r>
      <w:r w:rsidR="00241E9B">
        <w:rPr>
          <w:szCs w:val="24"/>
        </w:rPr>
        <w:t xml:space="preserve">We have also classified the horizontal area of shell-bearing deposits in order to compare sites by size. </w:t>
      </w:r>
      <w:r w:rsidR="00241E9B" w:rsidRPr="00A66575">
        <w:rPr>
          <w:szCs w:val="24"/>
        </w:rPr>
        <w:t xml:space="preserve">Shell-bearing sites on the Dundas Islands range in size from </w:t>
      </w:r>
      <w:r w:rsidR="00290A94">
        <w:rPr>
          <w:szCs w:val="24"/>
        </w:rPr>
        <w:t>twenty</w:t>
      </w:r>
      <w:r w:rsidR="002D2116">
        <w:rPr>
          <w:szCs w:val="24"/>
        </w:rPr>
        <w:t>-</w:t>
      </w:r>
      <w:r w:rsidR="00290A94">
        <w:rPr>
          <w:szCs w:val="24"/>
        </w:rPr>
        <w:t>five square metres</w:t>
      </w:r>
      <w:r w:rsidR="00241E9B" w:rsidRPr="00A66575">
        <w:rPr>
          <w:szCs w:val="24"/>
        </w:rPr>
        <w:t xml:space="preserve"> to over 18,000</w:t>
      </w:r>
      <w:r w:rsidR="00E74BA1">
        <w:rPr>
          <w:szCs w:val="24"/>
        </w:rPr>
        <w:t xml:space="preserve"> square metres</w:t>
      </w:r>
      <w:r w:rsidR="00241E9B">
        <w:rPr>
          <w:szCs w:val="24"/>
        </w:rPr>
        <w:t>.</w:t>
      </w:r>
      <w:r w:rsidR="00241E9B">
        <w:rPr>
          <w:rStyle w:val="FootnoteReference"/>
          <w:szCs w:val="24"/>
        </w:rPr>
        <w:footnoteReference w:id="6"/>
      </w:r>
      <w:r w:rsidR="00241E9B">
        <w:rPr>
          <w:szCs w:val="24"/>
        </w:rPr>
        <w:t xml:space="preserve"> </w:t>
      </w:r>
      <w:r w:rsidR="00241E9B" w:rsidRPr="007445CE">
        <w:rPr>
          <w:szCs w:val="24"/>
        </w:rPr>
        <w:t xml:space="preserve">Figure </w:t>
      </w:r>
      <w:r w:rsidR="00FF68C2" w:rsidRPr="007445CE">
        <w:rPr>
          <w:szCs w:val="24"/>
        </w:rPr>
        <w:t>4</w:t>
      </w:r>
      <w:r w:rsidR="00241E9B" w:rsidRPr="00A66575">
        <w:rPr>
          <w:szCs w:val="24"/>
        </w:rPr>
        <w:t xml:space="preserve"> shows a plot of the areas of she</w:t>
      </w:r>
      <w:r w:rsidR="00241E9B">
        <w:rPr>
          <w:szCs w:val="24"/>
        </w:rPr>
        <w:t>ll-bearing sites</w:t>
      </w:r>
      <w:r w:rsidR="00241E9B" w:rsidRPr="00A66575">
        <w:rPr>
          <w:szCs w:val="24"/>
        </w:rPr>
        <w:t xml:space="preserve">. </w:t>
      </w:r>
    </w:p>
    <w:p w14:paraId="59820BAE" w14:textId="330AF12D" w:rsidR="00241E9B" w:rsidRPr="00A66575" w:rsidRDefault="00241E9B" w:rsidP="005E1E4C">
      <w:pPr>
        <w:spacing w:after="0" w:line="480" w:lineRule="auto"/>
        <w:ind w:firstLine="720"/>
        <w:rPr>
          <w:szCs w:val="24"/>
        </w:rPr>
      </w:pPr>
      <w:r w:rsidRPr="00A66575">
        <w:rPr>
          <w:szCs w:val="24"/>
        </w:rPr>
        <w:t>Several patterns are apparent</w:t>
      </w:r>
      <w:r w:rsidR="00E74BA1">
        <w:rPr>
          <w:szCs w:val="24"/>
        </w:rPr>
        <w:t xml:space="preserve"> in the physical characteristics of shell-bearing sites on the Dundas Islands</w:t>
      </w:r>
      <w:r w:rsidRPr="00A66575">
        <w:rPr>
          <w:szCs w:val="24"/>
        </w:rPr>
        <w:t xml:space="preserve">. There is a multi-modal pattern formed by two breaks in the </w:t>
      </w:r>
      <w:r w:rsidR="00BF678A">
        <w:rPr>
          <w:szCs w:val="24"/>
        </w:rPr>
        <w:t xml:space="preserve">size </w:t>
      </w:r>
      <w:r w:rsidRPr="00A66575">
        <w:rPr>
          <w:szCs w:val="24"/>
        </w:rPr>
        <w:t>range of shell</w:t>
      </w:r>
      <w:r>
        <w:rPr>
          <w:szCs w:val="24"/>
        </w:rPr>
        <w:t>-bearing site</w:t>
      </w:r>
      <w:r w:rsidR="00BF678A">
        <w:rPr>
          <w:szCs w:val="24"/>
        </w:rPr>
        <w:t>s</w:t>
      </w:r>
      <w:r>
        <w:rPr>
          <w:szCs w:val="24"/>
        </w:rPr>
        <w:t xml:space="preserve"> (</w:t>
      </w:r>
      <w:r w:rsidRPr="00440A81">
        <w:rPr>
          <w:szCs w:val="24"/>
        </w:rPr>
        <w:t xml:space="preserve">Figure </w:t>
      </w:r>
      <w:r w:rsidR="00FF68C2" w:rsidRPr="00440A81">
        <w:rPr>
          <w:szCs w:val="24"/>
        </w:rPr>
        <w:t>4</w:t>
      </w:r>
      <w:r w:rsidRPr="00A66575">
        <w:rPr>
          <w:szCs w:val="24"/>
        </w:rPr>
        <w:t xml:space="preserve">). </w:t>
      </w:r>
      <w:r w:rsidR="000150CA">
        <w:rPr>
          <w:szCs w:val="24"/>
        </w:rPr>
        <w:t>The majority (n=28, 57 percent</w:t>
      </w:r>
      <w:r w:rsidRPr="00A66575">
        <w:rPr>
          <w:szCs w:val="24"/>
        </w:rPr>
        <w:t xml:space="preserve">) are small, ranging from </w:t>
      </w:r>
      <w:r w:rsidR="00951212">
        <w:rPr>
          <w:szCs w:val="24"/>
        </w:rPr>
        <w:t>twenty-five</w:t>
      </w:r>
      <w:r w:rsidR="00951212" w:rsidRPr="00A66575">
        <w:rPr>
          <w:szCs w:val="24"/>
        </w:rPr>
        <w:t xml:space="preserve"> </w:t>
      </w:r>
      <w:r w:rsidR="00470B79">
        <w:rPr>
          <w:szCs w:val="24"/>
        </w:rPr>
        <w:t>to</w:t>
      </w:r>
      <w:r w:rsidRPr="00A66575">
        <w:rPr>
          <w:szCs w:val="24"/>
        </w:rPr>
        <w:t xml:space="preserve"> 1</w:t>
      </w:r>
      <w:r w:rsidR="00470B79">
        <w:rPr>
          <w:szCs w:val="24"/>
        </w:rPr>
        <w:t>,</w:t>
      </w:r>
      <w:r w:rsidRPr="00A66575">
        <w:rPr>
          <w:szCs w:val="24"/>
        </w:rPr>
        <w:t xml:space="preserve">400 </w:t>
      </w:r>
      <w:r w:rsidR="00470B79">
        <w:rPr>
          <w:szCs w:val="24"/>
        </w:rPr>
        <w:t>square metres</w:t>
      </w:r>
      <w:r w:rsidR="00E62C39">
        <w:rPr>
          <w:szCs w:val="24"/>
        </w:rPr>
        <w:t>,</w:t>
      </w:r>
      <w:r w:rsidR="00470B79" w:rsidRPr="00A66575">
        <w:rPr>
          <w:szCs w:val="24"/>
        </w:rPr>
        <w:t xml:space="preserve"> </w:t>
      </w:r>
      <w:r w:rsidRPr="00A66575">
        <w:rPr>
          <w:szCs w:val="24"/>
        </w:rPr>
        <w:t>display</w:t>
      </w:r>
      <w:r w:rsidR="00470B79">
        <w:rPr>
          <w:szCs w:val="24"/>
        </w:rPr>
        <w:t>ing</w:t>
      </w:r>
      <w:r w:rsidRPr="00A66575">
        <w:rPr>
          <w:szCs w:val="24"/>
        </w:rPr>
        <w:t xml:space="preserve"> a continuous range of sizes with no modality. </w:t>
      </w:r>
      <w:r w:rsidR="00E62C39">
        <w:rPr>
          <w:szCs w:val="24"/>
        </w:rPr>
        <w:t>Sites in this cluster</w:t>
      </w:r>
      <w:r w:rsidRPr="00A66575">
        <w:rPr>
          <w:szCs w:val="24"/>
        </w:rPr>
        <w:t>, with the exception of one of the large</w:t>
      </w:r>
      <w:r w:rsidR="00E62C39">
        <w:rPr>
          <w:szCs w:val="24"/>
        </w:rPr>
        <w:t>st</w:t>
      </w:r>
      <w:r w:rsidRPr="00A66575">
        <w:rPr>
          <w:szCs w:val="24"/>
        </w:rPr>
        <w:t xml:space="preserve"> (GcTq-19, </w:t>
      </w:r>
      <w:r w:rsidR="00470B79">
        <w:rPr>
          <w:szCs w:val="24"/>
        </w:rPr>
        <w:t xml:space="preserve">at </w:t>
      </w:r>
      <w:r w:rsidRPr="00A66575">
        <w:rPr>
          <w:szCs w:val="24"/>
        </w:rPr>
        <w:t>1</w:t>
      </w:r>
      <w:r w:rsidR="00470B79">
        <w:rPr>
          <w:szCs w:val="24"/>
        </w:rPr>
        <w:t>,</w:t>
      </w:r>
      <w:r w:rsidRPr="00A66575">
        <w:rPr>
          <w:szCs w:val="24"/>
        </w:rPr>
        <w:t>330</w:t>
      </w:r>
      <w:r w:rsidR="00470B79">
        <w:rPr>
          <w:szCs w:val="24"/>
          <w:vertAlign w:val="superscript"/>
        </w:rPr>
        <w:t xml:space="preserve"> </w:t>
      </w:r>
      <w:r w:rsidR="00470B79">
        <w:rPr>
          <w:szCs w:val="24"/>
        </w:rPr>
        <w:t>square metres</w:t>
      </w:r>
      <w:r w:rsidRPr="00A66575">
        <w:rPr>
          <w:szCs w:val="24"/>
        </w:rPr>
        <w:t>), do not have surface features such as ridges, terraces, or house depressions. The even spread within this size range and their limited areas suggest that these sites do not represent intensive occupation</w:t>
      </w:r>
      <w:r w:rsidR="00E62C39">
        <w:rPr>
          <w:szCs w:val="24"/>
        </w:rPr>
        <w:t>s</w:t>
      </w:r>
      <w:r w:rsidRPr="00A66575">
        <w:rPr>
          <w:szCs w:val="24"/>
        </w:rPr>
        <w:t>, and that there was no real architectural goal of shell deposition</w:t>
      </w:r>
      <w:r w:rsidR="008665F6">
        <w:rPr>
          <w:szCs w:val="24"/>
        </w:rPr>
        <w:t xml:space="preserve"> beyond perhaps creating a flat well-</w:t>
      </w:r>
      <w:r w:rsidR="008665F6">
        <w:rPr>
          <w:szCs w:val="24"/>
        </w:rPr>
        <w:lastRenderedPageBreak/>
        <w:t>drained surface to live upon</w:t>
      </w:r>
      <w:r w:rsidRPr="00A66575">
        <w:rPr>
          <w:szCs w:val="24"/>
        </w:rPr>
        <w:t xml:space="preserve">. </w:t>
      </w:r>
      <w:r w:rsidR="00E62C39">
        <w:rPr>
          <w:szCs w:val="24"/>
        </w:rPr>
        <w:t>T</w:t>
      </w:r>
      <w:r w:rsidR="000150CA" w:rsidRPr="00A66575">
        <w:rPr>
          <w:szCs w:val="24"/>
        </w:rPr>
        <w:t>he range between 1</w:t>
      </w:r>
      <w:r w:rsidR="00470B79">
        <w:rPr>
          <w:szCs w:val="24"/>
        </w:rPr>
        <w:t>,</w:t>
      </w:r>
      <w:r w:rsidR="000150CA" w:rsidRPr="00A66575">
        <w:rPr>
          <w:szCs w:val="24"/>
        </w:rPr>
        <w:t>400 and 3</w:t>
      </w:r>
      <w:r w:rsidR="00470B79">
        <w:rPr>
          <w:szCs w:val="24"/>
        </w:rPr>
        <w:t>,</w:t>
      </w:r>
      <w:r w:rsidR="000150CA" w:rsidRPr="00A66575">
        <w:rPr>
          <w:szCs w:val="24"/>
        </w:rPr>
        <w:t>000</w:t>
      </w:r>
      <w:r w:rsidR="00470B79">
        <w:rPr>
          <w:szCs w:val="24"/>
          <w:vertAlign w:val="superscript"/>
        </w:rPr>
        <w:t xml:space="preserve"> </w:t>
      </w:r>
      <w:r w:rsidR="00470B79">
        <w:rPr>
          <w:szCs w:val="24"/>
        </w:rPr>
        <w:t>square metres</w:t>
      </w:r>
      <w:r w:rsidR="00E62C39">
        <w:rPr>
          <w:szCs w:val="24"/>
        </w:rPr>
        <w:t>, with only three sites,</w:t>
      </w:r>
      <w:r w:rsidR="00FB5256" w:rsidRPr="00FB5256">
        <w:rPr>
          <w:szCs w:val="24"/>
        </w:rPr>
        <w:t xml:space="preserve"> </w:t>
      </w:r>
      <w:r w:rsidR="00FB5256">
        <w:rPr>
          <w:szCs w:val="24"/>
        </w:rPr>
        <w:t xml:space="preserve">represents a notable </w:t>
      </w:r>
      <w:r w:rsidR="00FB5256" w:rsidRPr="00A66575">
        <w:rPr>
          <w:szCs w:val="24"/>
        </w:rPr>
        <w:t>gap</w:t>
      </w:r>
      <w:r w:rsidR="00FB5256">
        <w:rPr>
          <w:szCs w:val="24"/>
        </w:rPr>
        <w:t xml:space="preserve"> in size distribution</w:t>
      </w:r>
      <w:r w:rsidR="000150CA" w:rsidRPr="00A66575">
        <w:rPr>
          <w:szCs w:val="24"/>
        </w:rPr>
        <w:t xml:space="preserve">. </w:t>
      </w:r>
      <w:r w:rsidR="00470B79">
        <w:rPr>
          <w:szCs w:val="24"/>
        </w:rPr>
        <w:t>E</w:t>
      </w:r>
      <w:r w:rsidR="000150CA">
        <w:rPr>
          <w:szCs w:val="24"/>
        </w:rPr>
        <w:t>ight sites (16 percent</w:t>
      </w:r>
      <w:r w:rsidR="000150CA" w:rsidRPr="00A66575">
        <w:rPr>
          <w:szCs w:val="24"/>
        </w:rPr>
        <w:t xml:space="preserve">) </w:t>
      </w:r>
      <w:r w:rsidR="00DD71EA">
        <w:rPr>
          <w:szCs w:val="24"/>
        </w:rPr>
        <w:t xml:space="preserve">cluster </w:t>
      </w:r>
      <w:r w:rsidR="000150CA" w:rsidRPr="00A66575">
        <w:rPr>
          <w:szCs w:val="24"/>
        </w:rPr>
        <w:t>between 3</w:t>
      </w:r>
      <w:r w:rsidR="00470B79">
        <w:rPr>
          <w:szCs w:val="24"/>
        </w:rPr>
        <w:t>,</w:t>
      </w:r>
      <w:r w:rsidR="000150CA" w:rsidRPr="00A66575">
        <w:rPr>
          <w:szCs w:val="24"/>
        </w:rPr>
        <w:t>000</w:t>
      </w:r>
      <w:r w:rsidR="00257E4B">
        <w:rPr>
          <w:szCs w:val="24"/>
        </w:rPr>
        <w:t xml:space="preserve"> and</w:t>
      </w:r>
      <w:r w:rsidR="00B763CA">
        <w:rPr>
          <w:szCs w:val="24"/>
        </w:rPr>
        <w:t xml:space="preserve"> </w:t>
      </w:r>
      <w:r w:rsidR="000150CA" w:rsidRPr="00A66575">
        <w:rPr>
          <w:szCs w:val="24"/>
        </w:rPr>
        <w:t>4</w:t>
      </w:r>
      <w:r w:rsidR="00470B79">
        <w:rPr>
          <w:szCs w:val="24"/>
        </w:rPr>
        <w:t>,</w:t>
      </w:r>
      <w:r w:rsidR="000150CA" w:rsidRPr="00A66575">
        <w:rPr>
          <w:szCs w:val="24"/>
        </w:rPr>
        <w:t xml:space="preserve">000 </w:t>
      </w:r>
      <w:r w:rsidR="00470B79">
        <w:rPr>
          <w:szCs w:val="24"/>
        </w:rPr>
        <w:t>square metres</w:t>
      </w:r>
      <w:r w:rsidR="000150CA" w:rsidRPr="00A66575">
        <w:rPr>
          <w:szCs w:val="24"/>
        </w:rPr>
        <w:t xml:space="preserve"> </w:t>
      </w:r>
      <w:r w:rsidR="00DD71EA">
        <w:rPr>
          <w:szCs w:val="24"/>
        </w:rPr>
        <w:t xml:space="preserve">and tend to </w:t>
      </w:r>
      <w:r w:rsidR="000150CA" w:rsidRPr="00A66575">
        <w:rPr>
          <w:szCs w:val="24"/>
        </w:rPr>
        <w:t xml:space="preserve">have </w:t>
      </w:r>
      <w:r w:rsidR="00C35875">
        <w:rPr>
          <w:szCs w:val="24"/>
        </w:rPr>
        <w:t xml:space="preserve">visible </w:t>
      </w:r>
      <w:r w:rsidR="000150CA" w:rsidRPr="00A66575">
        <w:rPr>
          <w:szCs w:val="24"/>
        </w:rPr>
        <w:t>surface features such as shell ridges</w:t>
      </w:r>
      <w:r w:rsidR="000150CA">
        <w:rPr>
          <w:szCs w:val="24"/>
        </w:rPr>
        <w:t xml:space="preserve"> and house depressions</w:t>
      </w:r>
      <w:r w:rsidR="000150CA" w:rsidRPr="00A66575">
        <w:rPr>
          <w:szCs w:val="24"/>
        </w:rPr>
        <w:t>. After 4</w:t>
      </w:r>
      <w:r w:rsidR="00470B79">
        <w:rPr>
          <w:szCs w:val="24"/>
        </w:rPr>
        <w:t>,</w:t>
      </w:r>
      <w:r w:rsidR="000150CA" w:rsidRPr="00A66575">
        <w:rPr>
          <w:szCs w:val="24"/>
        </w:rPr>
        <w:t>000</w:t>
      </w:r>
      <w:r w:rsidR="00470B79">
        <w:rPr>
          <w:szCs w:val="24"/>
          <w:vertAlign w:val="superscript"/>
        </w:rPr>
        <w:t xml:space="preserve"> </w:t>
      </w:r>
      <w:r w:rsidR="00470B79">
        <w:rPr>
          <w:szCs w:val="24"/>
        </w:rPr>
        <w:t>square metres</w:t>
      </w:r>
      <w:r w:rsidR="000150CA" w:rsidRPr="00A66575">
        <w:rPr>
          <w:szCs w:val="24"/>
          <w:vertAlign w:val="superscript"/>
        </w:rPr>
        <w:t xml:space="preserve"> </w:t>
      </w:r>
      <w:r w:rsidR="000150CA" w:rsidRPr="00A66575">
        <w:rPr>
          <w:szCs w:val="24"/>
        </w:rPr>
        <w:t>there is a gap</w:t>
      </w:r>
      <w:r w:rsidR="000150CA">
        <w:rPr>
          <w:szCs w:val="24"/>
        </w:rPr>
        <w:t xml:space="preserve"> in site size</w:t>
      </w:r>
      <w:r w:rsidR="000150CA" w:rsidRPr="00A66575">
        <w:rPr>
          <w:szCs w:val="24"/>
        </w:rPr>
        <w:t xml:space="preserve"> until 6</w:t>
      </w:r>
      <w:r w:rsidR="00470B79">
        <w:rPr>
          <w:szCs w:val="24"/>
        </w:rPr>
        <w:t>,</w:t>
      </w:r>
      <w:r w:rsidR="000150CA" w:rsidRPr="00A66575">
        <w:rPr>
          <w:szCs w:val="24"/>
        </w:rPr>
        <w:t>000</w:t>
      </w:r>
      <w:r w:rsidR="00470B79">
        <w:rPr>
          <w:szCs w:val="24"/>
          <w:vertAlign w:val="superscript"/>
        </w:rPr>
        <w:t xml:space="preserve"> </w:t>
      </w:r>
      <w:r w:rsidR="00470B79">
        <w:rPr>
          <w:szCs w:val="24"/>
        </w:rPr>
        <w:t>square metres</w:t>
      </w:r>
      <w:r w:rsidR="000150CA">
        <w:rPr>
          <w:szCs w:val="24"/>
        </w:rPr>
        <w:t>, with only one</w:t>
      </w:r>
      <w:r w:rsidR="000150CA" w:rsidRPr="00A66575">
        <w:rPr>
          <w:szCs w:val="24"/>
        </w:rPr>
        <w:t xml:space="preserve"> site falling in this range. From 6</w:t>
      </w:r>
      <w:r w:rsidR="00E62C39">
        <w:rPr>
          <w:szCs w:val="24"/>
        </w:rPr>
        <w:t>,</w:t>
      </w:r>
      <w:r w:rsidR="00CB4A00">
        <w:rPr>
          <w:szCs w:val="24"/>
        </w:rPr>
        <w:t>000</w:t>
      </w:r>
      <w:r w:rsidR="000150CA" w:rsidRPr="00A66575">
        <w:rPr>
          <w:szCs w:val="24"/>
        </w:rPr>
        <w:t xml:space="preserve"> to 12,000</w:t>
      </w:r>
      <w:r w:rsidR="00E62C39">
        <w:rPr>
          <w:szCs w:val="24"/>
          <w:vertAlign w:val="superscript"/>
        </w:rPr>
        <w:t xml:space="preserve"> </w:t>
      </w:r>
      <w:r w:rsidR="00E62C39">
        <w:rPr>
          <w:szCs w:val="24"/>
        </w:rPr>
        <w:t>square metres</w:t>
      </w:r>
      <w:r w:rsidR="000150CA" w:rsidRPr="00A66575">
        <w:rPr>
          <w:szCs w:val="24"/>
          <w:vertAlign w:val="superscript"/>
        </w:rPr>
        <w:t xml:space="preserve"> </w:t>
      </w:r>
      <w:r w:rsidR="000150CA" w:rsidRPr="00A66575">
        <w:rPr>
          <w:szCs w:val="24"/>
        </w:rPr>
        <w:t>there is pote</w:t>
      </w:r>
      <w:r w:rsidR="000150CA">
        <w:rPr>
          <w:szCs w:val="24"/>
        </w:rPr>
        <w:t>ntially a continuous spread of eight</w:t>
      </w:r>
      <w:r w:rsidR="000150CA" w:rsidRPr="00A66575">
        <w:rPr>
          <w:szCs w:val="24"/>
        </w:rPr>
        <w:t xml:space="preserve"> sites (though the sample size is small and spread over a large size range) with size clustering around 6</w:t>
      </w:r>
      <w:r w:rsidR="00E62C39">
        <w:rPr>
          <w:szCs w:val="24"/>
        </w:rPr>
        <w:t>,</w:t>
      </w:r>
      <w:r w:rsidR="000150CA" w:rsidRPr="00A66575">
        <w:rPr>
          <w:szCs w:val="24"/>
        </w:rPr>
        <w:t>000</w:t>
      </w:r>
      <w:r w:rsidR="00E62C39">
        <w:rPr>
          <w:szCs w:val="24"/>
        </w:rPr>
        <w:t xml:space="preserve"> to </w:t>
      </w:r>
      <w:r w:rsidR="000150CA" w:rsidRPr="00A66575">
        <w:rPr>
          <w:szCs w:val="24"/>
        </w:rPr>
        <w:t>6</w:t>
      </w:r>
      <w:r w:rsidR="00E62C39">
        <w:rPr>
          <w:szCs w:val="24"/>
        </w:rPr>
        <w:t>,</w:t>
      </w:r>
      <w:r w:rsidR="000150CA" w:rsidRPr="00A66575">
        <w:rPr>
          <w:szCs w:val="24"/>
        </w:rPr>
        <w:t>600</w:t>
      </w:r>
      <w:r w:rsidR="00E62C39">
        <w:rPr>
          <w:szCs w:val="24"/>
          <w:vertAlign w:val="superscript"/>
        </w:rPr>
        <w:t xml:space="preserve"> </w:t>
      </w:r>
      <w:r w:rsidR="00E62C39">
        <w:rPr>
          <w:szCs w:val="24"/>
        </w:rPr>
        <w:t>square metres</w:t>
      </w:r>
      <w:r w:rsidR="000150CA" w:rsidRPr="00A66575">
        <w:rPr>
          <w:szCs w:val="24"/>
          <w:vertAlign w:val="superscript"/>
        </w:rPr>
        <w:t xml:space="preserve"> </w:t>
      </w:r>
      <w:r w:rsidR="000150CA" w:rsidRPr="00A66575">
        <w:rPr>
          <w:szCs w:val="24"/>
        </w:rPr>
        <w:t>and again around 9</w:t>
      </w:r>
      <w:r w:rsidR="00E62C39">
        <w:rPr>
          <w:szCs w:val="24"/>
        </w:rPr>
        <w:t>,</w:t>
      </w:r>
      <w:r w:rsidR="000150CA" w:rsidRPr="00A66575">
        <w:rPr>
          <w:szCs w:val="24"/>
        </w:rPr>
        <w:t>800</w:t>
      </w:r>
      <w:r w:rsidR="00E62C39">
        <w:rPr>
          <w:szCs w:val="24"/>
        </w:rPr>
        <w:t xml:space="preserve"> to </w:t>
      </w:r>
      <w:r w:rsidR="000150CA" w:rsidRPr="00A66575">
        <w:rPr>
          <w:szCs w:val="24"/>
        </w:rPr>
        <w:t>10,500</w:t>
      </w:r>
      <w:r w:rsidR="00E62C39">
        <w:rPr>
          <w:szCs w:val="24"/>
          <w:vertAlign w:val="superscript"/>
        </w:rPr>
        <w:t xml:space="preserve"> </w:t>
      </w:r>
      <w:r w:rsidR="00E62C39">
        <w:rPr>
          <w:szCs w:val="24"/>
        </w:rPr>
        <w:t>square metres</w:t>
      </w:r>
      <w:r w:rsidR="000150CA" w:rsidRPr="00A66575">
        <w:rPr>
          <w:szCs w:val="24"/>
        </w:rPr>
        <w:t xml:space="preserve">. The largest site, GcTr-10, </w:t>
      </w:r>
      <w:r w:rsidR="00E62C39">
        <w:rPr>
          <w:szCs w:val="24"/>
        </w:rPr>
        <w:t>at</w:t>
      </w:r>
      <w:r w:rsidR="00E62C39" w:rsidRPr="00A66575">
        <w:rPr>
          <w:szCs w:val="24"/>
        </w:rPr>
        <w:t xml:space="preserve"> </w:t>
      </w:r>
      <w:r w:rsidR="000150CA" w:rsidRPr="00A66575">
        <w:rPr>
          <w:szCs w:val="24"/>
        </w:rPr>
        <w:t>over 18,000</w:t>
      </w:r>
      <w:r w:rsidR="00E62C39">
        <w:rPr>
          <w:szCs w:val="24"/>
          <w:vertAlign w:val="superscript"/>
        </w:rPr>
        <w:t xml:space="preserve"> </w:t>
      </w:r>
      <w:r w:rsidR="00E62C39">
        <w:rPr>
          <w:szCs w:val="24"/>
        </w:rPr>
        <w:t>square metres,</w:t>
      </w:r>
      <w:r w:rsidR="000150CA" w:rsidRPr="00A66575">
        <w:rPr>
          <w:szCs w:val="24"/>
        </w:rPr>
        <w:t xml:space="preserve"> is a</w:t>
      </w:r>
      <w:r w:rsidR="001A6EBE">
        <w:rPr>
          <w:szCs w:val="24"/>
        </w:rPr>
        <w:t xml:space="preserve"> </w:t>
      </w:r>
      <w:r w:rsidR="000150CA" w:rsidRPr="00A66575">
        <w:rPr>
          <w:szCs w:val="24"/>
        </w:rPr>
        <w:t>n</w:t>
      </w:r>
      <w:r w:rsidR="001A6EBE">
        <w:rPr>
          <w:szCs w:val="24"/>
        </w:rPr>
        <w:t>otable</w:t>
      </w:r>
      <w:r w:rsidR="000150CA" w:rsidRPr="00A66575">
        <w:rPr>
          <w:szCs w:val="24"/>
        </w:rPr>
        <w:t xml:space="preserve"> </w:t>
      </w:r>
      <w:r w:rsidR="001A6EBE">
        <w:rPr>
          <w:szCs w:val="24"/>
        </w:rPr>
        <w:t>outlier</w:t>
      </w:r>
      <w:r w:rsidR="001A6EBE" w:rsidRPr="00A66575">
        <w:rPr>
          <w:szCs w:val="24"/>
        </w:rPr>
        <w:t xml:space="preserve"> </w:t>
      </w:r>
      <w:r w:rsidR="000150CA" w:rsidRPr="00A66575">
        <w:rPr>
          <w:szCs w:val="24"/>
        </w:rPr>
        <w:t xml:space="preserve">that </w:t>
      </w:r>
      <w:r w:rsidR="001A6EBE">
        <w:rPr>
          <w:szCs w:val="24"/>
        </w:rPr>
        <w:t>is</w:t>
      </w:r>
      <w:r w:rsidR="000150CA" w:rsidRPr="00A66575">
        <w:rPr>
          <w:szCs w:val="24"/>
        </w:rPr>
        <w:t xml:space="preserve"> discussed below.</w:t>
      </w:r>
    </w:p>
    <w:p w14:paraId="3F36FDE0" w14:textId="210E0253" w:rsidR="00450CDD" w:rsidRDefault="000150CA" w:rsidP="005E1E4C">
      <w:pPr>
        <w:spacing w:after="0" w:line="480" w:lineRule="auto"/>
        <w:ind w:firstLine="720"/>
        <w:rPr>
          <w:szCs w:val="24"/>
        </w:rPr>
      </w:pPr>
      <w:r w:rsidRPr="00A66575">
        <w:rPr>
          <w:szCs w:val="24"/>
        </w:rPr>
        <w:t>Site size modalitie</w:t>
      </w:r>
      <w:r w:rsidR="00A919EA">
        <w:rPr>
          <w:szCs w:val="24"/>
        </w:rPr>
        <w:t>s are known elsewhere on the Northwest Coast</w:t>
      </w:r>
      <w:r w:rsidRPr="00A66575">
        <w:rPr>
          <w:szCs w:val="24"/>
        </w:rPr>
        <w:t>. Marshall (2006) finds a similar multi-modality within the sizes of sites in Nootka Sound</w:t>
      </w:r>
      <w:r w:rsidR="00A919EA">
        <w:rPr>
          <w:szCs w:val="24"/>
        </w:rPr>
        <w:t>, western Vancouver Island</w:t>
      </w:r>
      <w:r w:rsidRPr="00A66575">
        <w:rPr>
          <w:szCs w:val="24"/>
        </w:rPr>
        <w:t>, though her size clustering and distribution differs from that found on the Dundas Islands</w:t>
      </w:r>
      <w:r w:rsidR="00A919EA">
        <w:rPr>
          <w:szCs w:val="24"/>
        </w:rPr>
        <w:t xml:space="preserve"> </w:t>
      </w:r>
      <w:r w:rsidR="001A6EBE">
        <w:rPr>
          <w:szCs w:val="24"/>
        </w:rPr>
        <w:t>(see McKechnie, this vol</w:t>
      </w:r>
      <w:r w:rsidR="00470B79">
        <w:rPr>
          <w:szCs w:val="24"/>
        </w:rPr>
        <w:t>ume</w:t>
      </w:r>
      <w:r w:rsidR="001A6EBE" w:rsidRPr="00A66575">
        <w:rPr>
          <w:szCs w:val="24"/>
        </w:rPr>
        <w:t>)</w:t>
      </w:r>
      <w:r w:rsidRPr="00A66575">
        <w:rPr>
          <w:szCs w:val="24"/>
        </w:rPr>
        <w:t>. Acheson (1995, 1998) finds a bimodal distribution of site sizes on southern Haida Gwaii</w:t>
      </w:r>
      <w:r w:rsidR="00E76610">
        <w:rPr>
          <w:szCs w:val="24"/>
        </w:rPr>
        <w:t xml:space="preserve">, as does Maschner (1997) for </w:t>
      </w:r>
      <w:r w:rsidR="00C5704A">
        <w:rPr>
          <w:szCs w:val="24"/>
        </w:rPr>
        <w:t xml:space="preserve">settlements in </w:t>
      </w:r>
      <w:proofErr w:type="spellStart"/>
      <w:r w:rsidR="00C5704A">
        <w:rPr>
          <w:szCs w:val="24"/>
        </w:rPr>
        <w:t>Tebenkof</w:t>
      </w:r>
      <w:proofErr w:type="spellEnd"/>
      <w:r w:rsidR="00C5704A">
        <w:rPr>
          <w:szCs w:val="24"/>
        </w:rPr>
        <w:t xml:space="preserve"> Bay on </w:t>
      </w:r>
      <w:proofErr w:type="spellStart"/>
      <w:r w:rsidR="00C5704A">
        <w:rPr>
          <w:szCs w:val="24"/>
        </w:rPr>
        <w:t>Kuiu</w:t>
      </w:r>
      <w:proofErr w:type="spellEnd"/>
      <w:r w:rsidR="00C5704A">
        <w:rPr>
          <w:szCs w:val="24"/>
        </w:rPr>
        <w:t xml:space="preserve"> Island, southeast Alaska</w:t>
      </w:r>
      <w:r w:rsidRPr="00A66575">
        <w:rPr>
          <w:szCs w:val="24"/>
        </w:rPr>
        <w:t>. Marshall argues that patterning and clustering in site sizes suggest thresholds in the growth of settlements and constraints that cluster sites around optimum sizes for specific functions. The gap after 1</w:t>
      </w:r>
      <w:r w:rsidR="004D4AC6">
        <w:rPr>
          <w:szCs w:val="24"/>
        </w:rPr>
        <w:t>,</w:t>
      </w:r>
      <w:r w:rsidRPr="00A66575">
        <w:rPr>
          <w:szCs w:val="24"/>
        </w:rPr>
        <w:t>400</w:t>
      </w:r>
      <w:r w:rsidR="004D4AC6">
        <w:rPr>
          <w:szCs w:val="24"/>
        </w:rPr>
        <w:t xml:space="preserve"> square metres </w:t>
      </w:r>
      <w:r w:rsidRPr="00A66575">
        <w:rPr>
          <w:szCs w:val="24"/>
        </w:rPr>
        <w:t>in the Dundas</w:t>
      </w:r>
      <w:r w:rsidR="0028419D">
        <w:rPr>
          <w:szCs w:val="24"/>
        </w:rPr>
        <w:t xml:space="preserve"> Islands</w:t>
      </w:r>
      <w:r w:rsidRPr="00A66575">
        <w:rPr>
          <w:szCs w:val="24"/>
        </w:rPr>
        <w:t xml:space="preserve"> site areas may indicate the threshold range for small group logistical resource collection, and the modality of sites at 3</w:t>
      </w:r>
      <w:r w:rsidR="004D4AC6">
        <w:rPr>
          <w:szCs w:val="24"/>
        </w:rPr>
        <w:t>,</w:t>
      </w:r>
      <w:r w:rsidRPr="00A66575">
        <w:rPr>
          <w:szCs w:val="24"/>
        </w:rPr>
        <w:t>000</w:t>
      </w:r>
      <w:r w:rsidR="004D4AC6">
        <w:rPr>
          <w:szCs w:val="24"/>
        </w:rPr>
        <w:t xml:space="preserve"> to </w:t>
      </w:r>
      <w:r w:rsidRPr="00A66575">
        <w:rPr>
          <w:szCs w:val="24"/>
        </w:rPr>
        <w:t>4</w:t>
      </w:r>
      <w:r w:rsidR="004D4AC6">
        <w:rPr>
          <w:szCs w:val="24"/>
        </w:rPr>
        <w:t>,</w:t>
      </w:r>
      <w:r w:rsidRPr="00A66575">
        <w:rPr>
          <w:szCs w:val="24"/>
        </w:rPr>
        <w:t xml:space="preserve">000 </w:t>
      </w:r>
      <w:r w:rsidR="004D4AC6">
        <w:rPr>
          <w:szCs w:val="24"/>
        </w:rPr>
        <w:t>square metres</w:t>
      </w:r>
      <w:r w:rsidR="004D4AC6" w:rsidRPr="00A66575">
        <w:rPr>
          <w:szCs w:val="24"/>
        </w:rPr>
        <w:t xml:space="preserve"> </w:t>
      </w:r>
      <w:r w:rsidRPr="00A66575">
        <w:rPr>
          <w:szCs w:val="24"/>
        </w:rPr>
        <w:t>may be indicative of different deposition processes associated with longer-term residence. The presence of surface features such as terraces, depressions, and ridges indicates a more formalized organization of space at the l</w:t>
      </w:r>
      <w:r w:rsidR="00774599">
        <w:rPr>
          <w:szCs w:val="24"/>
        </w:rPr>
        <w:t>arger sites. The fact that 96 percent</w:t>
      </w:r>
      <w:r w:rsidRPr="00A66575">
        <w:rPr>
          <w:szCs w:val="24"/>
        </w:rPr>
        <w:t xml:space="preserve"> of shell-bearing sites </w:t>
      </w:r>
      <w:r w:rsidR="00DB02D2">
        <w:rPr>
          <w:szCs w:val="24"/>
        </w:rPr>
        <w:t>less than</w:t>
      </w:r>
      <w:r w:rsidR="00DB02D2" w:rsidRPr="00A66575">
        <w:rPr>
          <w:szCs w:val="24"/>
        </w:rPr>
        <w:t xml:space="preserve"> </w:t>
      </w:r>
      <w:r w:rsidRPr="00A66575">
        <w:rPr>
          <w:szCs w:val="24"/>
        </w:rPr>
        <w:t>1</w:t>
      </w:r>
      <w:r w:rsidR="004D4AC6">
        <w:rPr>
          <w:szCs w:val="24"/>
        </w:rPr>
        <w:t>,</w:t>
      </w:r>
      <w:r w:rsidRPr="00A66575">
        <w:rPr>
          <w:szCs w:val="24"/>
        </w:rPr>
        <w:t xml:space="preserve">400 </w:t>
      </w:r>
      <w:r w:rsidR="004D4AC6">
        <w:rPr>
          <w:szCs w:val="24"/>
        </w:rPr>
        <w:t>square metres</w:t>
      </w:r>
      <w:r w:rsidR="004D4AC6" w:rsidRPr="00A66575">
        <w:rPr>
          <w:szCs w:val="24"/>
        </w:rPr>
        <w:t xml:space="preserve"> </w:t>
      </w:r>
      <w:r w:rsidR="00A07DCD">
        <w:rPr>
          <w:szCs w:val="24"/>
        </w:rPr>
        <w:t>lack</w:t>
      </w:r>
      <w:r w:rsidRPr="00A66575">
        <w:rPr>
          <w:szCs w:val="24"/>
        </w:rPr>
        <w:t xml:space="preserve"> </w:t>
      </w:r>
      <w:r w:rsidR="003B689F">
        <w:rPr>
          <w:szCs w:val="24"/>
        </w:rPr>
        <w:t xml:space="preserve">visible </w:t>
      </w:r>
      <w:r w:rsidRPr="00A66575">
        <w:rPr>
          <w:szCs w:val="24"/>
        </w:rPr>
        <w:t xml:space="preserve">surface features, and the majority of sites </w:t>
      </w:r>
      <w:r w:rsidR="00DB02D2">
        <w:rPr>
          <w:szCs w:val="24"/>
        </w:rPr>
        <w:t>greater than</w:t>
      </w:r>
      <w:r w:rsidR="00DB02D2" w:rsidRPr="00A66575">
        <w:rPr>
          <w:szCs w:val="24"/>
        </w:rPr>
        <w:t xml:space="preserve"> </w:t>
      </w:r>
      <w:r w:rsidRPr="00A66575">
        <w:rPr>
          <w:szCs w:val="24"/>
        </w:rPr>
        <w:t>3</w:t>
      </w:r>
      <w:r w:rsidR="004D4AC6">
        <w:rPr>
          <w:szCs w:val="24"/>
        </w:rPr>
        <w:t>,</w:t>
      </w:r>
      <w:r w:rsidRPr="00A66575">
        <w:rPr>
          <w:szCs w:val="24"/>
        </w:rPr>
        <w:t xml:space="preserve">000 </w:t>
      </w:r>
      <w:r w:rsidR="004D4AC6">
        <w:rPr>
          <w:szCs w:val="24"/>
        </w:rPr>
        <w:t xml:space="preserve">square metres </w:t>
      </w:r>
      <w:r w:rsidR="00774599">
        <w:rPr>
          <w:szCs w:val="24"/>
        </w:rPr>
        <w:t>(n=14, 78 percent</w:t>
      </w:r>
      <w:r w:rsidRPr="00A66575">
        <w:rPr>
          <w:szCs w:val="24"/>
        </w:rPr>
        <w:t xml:space="preserve">) have surface features indicates that </w:t>
      </w:r>
      <w:r w:rsidRPr="00A66575">
        <w:rPr>
          <w:szCs w:val="24"/>
        </w:rPr>
        <w:lastRenderedPageBreak/>
        <w:t xml:space="preserve">these larger sites are functionally different and are the result of formalized deposition processes guided by different </w:t>
      </w:r>
      <w:proofErr w:type="spellStart"/>
      <w:r w:rsidRPr="00A66575">
        <w:rPr>
          <w:szCs w:val="24"/>
        </w:rPr>
        <w:t>behavioural</w:t>
      </w:r>
      <w:proofErr w:type="spellEnd"/>
      <w:r w:rsidRPr="00A66575">
        <w:rPr>
          <w:szCs w:val="24"/>
        </w:rPr>
        <w:t xml:space="preserve"> and/or architectural ‘</w:t>
      </w:r>
      <w:r w:rsidR="0028419D">
        <w:rPr>
          <w:szCs w:val="24"/>
        </w:rPr>
        <w:t>conventions</w:t>
      </w:r>
      <w:r w:rsidR="0028419D" w:rsidRPr="00A66575">
        <w:rPr>
          <w:szCs w:val="24"/>
        </w:rPr>
        <w:t>’</w:t>
      </w:r>
      <w:r w:rsidR="00774599">
        <w:rPr>
          <w:szCs w:val="24"/>
        </w:rPr>
        <w:t xml:space="preserve">. </w:t>
      </w:r>
      <w:r w:rsidR="0034020F">
        <w:rPr>
          <w:szCs w:val="24"/>
        </w:rPr>
        <w:t>Fourteen of the fifteen</w:t>
      </w:r>
      <w:r w:rsidR="00774599">
        <w:rPr>
          <w:szCs w:val="24"/>
        </w:rPr>
        <w:t xml:space="preserve"> villages – </w:t>
      </w:r>
      <w:r w:rsidRPr="00A66575">
        <w:rPr>
          <w:szCs w:val="24"/>
        </w:rPr>
        <w:t xml:space="preserve">sites with multiple </w:t>
      </w:r>
      <w:r w:rsidR="00774599">
        <w:rPr>
          <w:szCs w:val="24"/>
        </w:rPr>
        <w:t xml:space="preserve">visible house depressions – </w:t>
      </w:r>
      <w:r w:rsidRPr="00A66575">
        <w:rPr>
          <w:szCs w:val="24"/>
        </w:rPr>
        <w:t>are above the 1</w:t>
      </w:r>
      <w:r w:rsidR="004D4AC6">
        <w:rPr>
          <w:szCs w:val="24"/>
        </w:rPr>
        <w:t>,</w:t>
      </w:r>
      <w:r w:rsidRPr="00A66575">
        <w:rPr>
          <w:szCs w:val="24"/>
        </w:rPr>
        <w:t>400</w:t>
      </w:r>
      <w:r w:rsidR="0034020F">
        <w:rPr>
          <w:szCs w:val="24"/>
        </w:rPr>
        <w:t xml:space="preserve"> to 3</w:t>
      </w:r>
      <w:r w:rsidR="00637EC6">
        <w:rPr>
          <w:szCs w:val="24"/>
        </w:rPr>
        <w:t>,</w:t>
      </w:r>
      <w:r w:rsidR="0034020F">
        <w:rPr>
          <w:szCs w:val="24"/>
        </w:rPr>
        <w:t>000</w:t>
      </w:r>
      <w:r w:rsidRPr="00A66575">
        <w:rPr>
          <w:szCs w:val="24"/>
        </w:rPr>
        <w:t xml:space="preserve"> </w:t>
      </w:r>
      <w:r w:rsidR="004D4AC6">
        <w:rPr>
          <w:szCs w:val="24"/>
        </w:rPr>
        <w:t>square metre</w:t>
      </w:r>
      <w:r w:rsidR="004D4AC6" w:rsidRPr="00A66575">
        <w:rPr>
          <w:szCs w:val="24"/>
          <w:vertAlign w:val="superscript"/>
        </w:rPr>
        <w:t xml:space="preserve"> </w:t>
      </w:r>
      <w:r w:rsidRPr="00A66575">
        <w:rPr>
          <w:szCs w:val="24"/>
        </w:rPr>
        <w:t>threshold</w:t>
      </w:r>
      <w:r w:rsidR="0034020F">
        <w:rPr>
          <w:szCs w:val="24"/>
        </w:rPr>
        <w:t>; the exception (GcTq-10) is 2,144 square metres.</w:t>
      </w:r>
      <w:r w:rsidRPr="00A66575">
        <w:rPr>
          <w:szCs w:val="24"/>
        </w:rPr>
        <w:t xml:space="preserve"> Given the lack of </w:t>
      </w:r>
      <w:r w:rsidR="008274D8">
        <w:rPr>
          <w:szCs w:val="24"/>
        </w:rPr>
        <w:t xml:space="preserve">a </w:t>
      </w:r>
      <w:r w:rsidR="008274D8" w:rsidRPr="00A66575">
        <w:rPr>
          <w:szCs w:val="24"/>
        </w:rPr>
        <w:t>continu</w:t>
      </w:r>
      <w:r w:rsidR="008274D8">
        <w:rPr>
          <w:szCs w:val="24"/>
        </w:rPr>
        <w:t>ous</w:t>
      </w:r>
      <w:r w:rsidR="008274D8" w:rsidRPr="00A66575">
        <w:rPr>
          <w:szCs w:val="24"/>
        </w:rPr>
        <w:t xml:space="preserve"> </w:t>
      </w:r>
      <w:r w:rsidR="008274D8">
        <w:rPr>
          <w:szCs w:val="24"/>
        </w:rPr>
        <w:t>range</w:t>
      </w:r>
      <w:r w:rsidR="008274D8" w:rsidRPr="00A66575">
        <w:rPr>
          <w:szCs w:val="24"/>
        </w:rPr>
        <w:t xml:space="preserve"> </w:t>
      </w:r>
      <w:r w:rsidR="008274D8">
        <w:rPr>
          <w:szCs w:val="24"/>
        </w:rPr>
        <w:t xml:space="preserve">of site sizes </w:t>
      </w:r>
      <w:r w:rsidRPr="00A66575">
        <w:rPr>
          <w:szCs w:val="24"/>
        </w:rPr>
        <w:t>between the two clusters and lack of house depressions among the smaller sites, we suggest that villages cannot be explained as a gradual accumulation of cultural material and organic growth in size, but rather they appear to be planned enterprises that were constructed and curated with an architectural vision in mind. This vision included the alignment of houses in rows and the patterning of shell deposition in order to form ridges, terraces, and flat, well-drained living surfaces (Moss 2011:123).</w:t>
      </w:r>
    </w:p>
    <w:p w14:paraId="3BB64754" w14:textId="25E786C6" w:rsidR="00774599" w:rsidRPr="00A66575" w:rsidRDefault="00774599" w:rsidP="005E1E4C">
      <w:pPr>
        <w:spacing w:after="0" w:line="480" w:lineRule="auto"/>
        <w:ind w:firstLine="720"/>
        <w:rPr>
          <w:szCs w:val="24"/>
        </w:rPr>
      </w:pPr>
      <w:r>
        <w:rPr>
          <w:szCs w:val="24"/>
        </w:rPr>
        <w:t>T</w:t>
      </w:r>
      <w:r w:rsidR="00042D97">
        <w:rPr>
          <w:szCs w:val="24"/>
        </w:rPr>
        <w:t xml:space="preserve">hese large villages are </w:t>
      </w:r>
      <w:r>
        <w:rPr>
          <w:szCs w:val="24"/>
        </w:rPr>
        <w:t xml:space="preserve">the best indication that the outer islands of </w:t>
      </w:r>
      <w:r w:rsidR="008E6B96">
        <w:rPr>
          <w:szCs w:val="24"/>
        </w:rPr>
        <w:t xml:space="preserve">Northern </w:t>
      </w:r>
      <w:r>
        <w:rPr>
          <w:szCs w:val="24"/>
        </w:rPr>
        <w:t xml:space="preserve">Tsimshian traditional territory were </w:t>
      </w:r>
      <w:r w:rsidR="00477A58">
        <w:rPr>
          <w:szCs w:val="24"/>
        </w:rPr>
        <w:t xml:space="preserve">important occupation areas in the past. </w:t>
      </w:r>
      <w:r w:rsidRPr="00440A81">
        <w:rPr>
          <w:szCs w:val="24"/>
        </w:rPr>
        <w:t xml:space="preserve">Table </w:t>
      </w:r>
      <w:r w:rsidR="0034020F" w:rsidRPr="00440A81">
        <w:rPr>
          <w:szCs w:val="24"/>
        </w:rPr>
        <w:t>1</w:t>
      </w:r>
      <w:r w:rsidRPr="00A66575">
        <w:rPr>
          <w:szCs w:val="24"/>
        </w:rPr>
        <w:t xml:space="preserve"> lists these villages, including their size and the number and organization of house depressions in rows. Villages can be </w:t>
      </w:r>
      <w:r w:rsidR="00477A58">
        <w:rPr>
          <w:szCs w:val="24"/>
        </w:rPr>
        <w:t>sub</w:t>
      </w:r>
      <w:r w:rsidRPr="00A66575">
        <w:rPr>
          <w:szCs w:val="24"/>
        </w:rPr>
        <w:t>divided into two groups</w:t>
      </w:r>
      <w:r w:rsidR="00637EC6">
        <w:rPr>
          <w:szCs w:val="24"/>
        </w:rPr>
        <w:t>:</w:t>
      </w:r>
      <w:r w:rsidRPr="00A66575">
        <w:rPr>
          <w:szCs w:val="24"/>
        </w:rPr>
        <w:t xml:space="preserve"> those with fewe</w:t>
      </w:r>
      <w:r w:rsidR="00477A58">
        <w:rPr>
          <w:szCs w:val="24"/>
        </w:rPr>
        <w:t>r houses (</w:t>
      </w:r>
      <w:r w:rsidR="00400C82">
        <w:rPr>
          <w:szCs w:val="24"/>
        </w:rPr>
        <w:t>below</w:t>
      </w:r>
      <w:r w:rsidR="00477A58">
        <w:rPr>
          <w:szCs w:val="24"/>
        </w:rPr>
        <w:t xml:space="preserve"> fifteen, of which most have </w:t>
      </w:r>
      <w:r w:rsidR="00400C82">
        <w:rPr>
          <w:szCs w:val="24"/>
        </w:rPr>
        <w:t xml:space="preserve">fewer </w:t>
      </w:r>
      <w:r w:rsidR="00477A58">
        <w:rPr>
          <w:szCs w:val="24"/>
        </w:rPr>
        <w:t>than ten</w:t>
      </w:r>
      <w:r w:rsidRPr="00A66575">
        <w:rPr>
          <w:szCs w:val="24"/>
        </w:rPr>
        <w:t>), and those wi</w:t>
      </w:r>
      <w:r w:rsidR="00477A58">
        <w:rPr>
          <w:szCs w:val="24"/>
        </w:rPr>
        <w:t>th a large number of houses (more than fifteen, most having between twenty and twenty-four</w:t>
      </w:r>
      <w:r w:rsidRPr="00A66575">
        <w:rPr>
          <w:szCs w:val="24"/>
        </w:rPr>
        <w:t>). These two clusters correspond with the 3</w:t>
      </w:r>
      <w:r w:rsidR="00A93B22">
        <w:rPr>
          <w:szCs w:val="24"/>
        </w:rPr>
        <w:t>,</w:t>
      </w:r>
      <w:r w:rsidRPr="00A66575">
        <w:rPr>
          <w:szCs w:val="24"/>
        </w:rPr>
        <w:t>000</w:t>
      </w:r>
      <w:r w:rsidR="00A93B22">
        <w:rPr>
          <w:szCs w:val="24"/>
        </w:rPr>
        <w:t xml:space="preserve"> to </w:t>
      </w:r>
      <w:r w:rsidRPr="00A66575">
        <w:rPr>
          <w:szCs w:val="24"/>
        </w:rPr>
        <w:t>4</w:t>
      </w:r>
      <w:r w:rsidR="00637EC6">
        <w:rPr>
          <w:szCs w:val="24"/>
        </w:rPr>
        <w:t>,</w:t>
      </w:r>
      <w:r w:rsidRPr="00A66575">
        <w:rPr>
          <w:szCs w:val="24"/>
        </w:rPr>
        <w:t xml:space="preserve">000 </w:t>
      </w:r>
      <w:r w:rsidR="00A93B22">
        <w:rPr>
          <w:szCs w:val="24"/>
        </w:rPr>
        <w:t>square metre</w:t>
      </w:r>
      <w:r w:rsidR="00A93B22" w:rsidRPr="00A66575">
        <w:rPr>
          <w:szCs w:val="24"/>
        </w:rPr>
        <w:t xml:space="preserve"> </w:t>
      </w:r>
      <w:r w:rsidRPr="00A66575">
        <w:rPr>
          <w:szCs w:val="24"/>
        </w:rPr>
        <w:t>area range and the greater than 6</w:t>
      </w:r>
      <w:r w:rsidR="00A93B22">
        <w:rPr>
          <w:szCs w:val="24"/>
        </w:rPr>
        <w:t>,</w:t>
      </w:r>
      <w:r w:rsidRPr="00A66575">
        <w:rPr>
          <w:szCs w:val="24"/>
        </w:rPr>
        <w:t xml:space="preserve">000 </w:t>
      </w:r>
      <w:r w:rsidR="00A93B22">
        <w:rPr>
          <w:szCs w:val="24"/>
        </w:rPr>
        <w:t>square metre</w:t>
      </w:r>
      <w:r w:rsidR="00A93B22" w:rsidRPr="00A66575">
        <w:rPr>
          <w:szCs w:val="24"/>
        </w:rPr>
        <w:t xml:space="preserve"> </w:t>
      </w:r>
      <w:r w:rsidRPr="00A66575">
        <w:rPr>
          <w:szCs w:val="24"/>
        </w:rPr>
        <w:t xml:space="preserve">area range, </w:t>
      </w:r>
      <w:r w:rsidR="001E62D9">
        <w:rPr>
          <w:szCs w:val="24"/>
        </w:rPr>
        <w:t>respectively,</w:t>
      </w:r>
      <w:r w:rsidR="003D4793">
        <w:rPr>
          <w:szCs w:val="24"/>
        </w:rPr>
        <w:t xml:space="preserve"> and </w:t>
      </w:r>
      <w:r w:rsidR="00155A74">
        <w:rPr>
          <w:szCs w:val="24"/>
        </w:rPr>
        <w:t xml:space="preserve">we designate </w:t>
      </w:r>
      <w:r w:rsidR="003D4793">
        <w:rPr>
          <w:szCs w:val="24"/>
        </w:rPr>
        <w:t xml:space="preserve">then </w:t>
      </w:r>
      <w:r w:rsidR="00BB77F3">
        <w:rPr>
          <w:szCs w:val="24"/>
        </w:rPr>
        <w:t xml:space="preserve">as </w:t>
      </w:r>
      <w:r w:rsidR="00155A74">
        <w:rPr>
          <w:szCs w:val="24"/>
        </w:rPr>
        <w:t>small and large villages</w:t>
      </w:r>
      <w:r w:rsidRPr="00A66575">
        <w:rPr>
          <w:szCs w:val="24"/>
        </w:rPr>
        <w:t xml:space="preserve">. </w:t>
      </w:r>
      <w:r w:rsidR="00477A58">
        <w:rPr>
          <w:szCs w:val="24"/>
        </w:rPr>
        <w:t xml:space="preserve">Small villages have small house depression dimensions, usually around </w:t>
      </w:r>
      <w:r w:rsidR="00BB77F3">
        <w:rPr>
          <w:szCs w:val="24"/>
        </w:rPr>
        <w:t>four by six metres</w:t>
      </w:r>
      <w:r w:rsidR="00477A58">
        <w:rPr>
          <w:szCs w:val="24"/>
        </w:rPr>
        <w:t xml:space="preserve">. </w:t>
      </w:r>
      <w:r w:rsidRPr="00A66575">
        <w:rPr>
          <w:szCs w:val="24"/>
        </w:rPr>
        <w:t xml:space="preserve">The larger villages typically show a range of house </w:t>
      </w:r>
      <w:r w:rsidR="00477A58">
        <w:rPr>
          <w:szCs w:val="24"/>
        </w:rPr>
        <w:t xml:space="preserve">depression </w:t>
      </w:r>
      <w:r w:rsidRPr="00A66575">
        <w:rPr>
          <w:szCs w:val="24"/>
        </w:rPr>
        <w:t xml:space="preserve">sizes, </w:t>
      </w:r>
      <w:r w:rsidR="00BB77F3">
        <w:rPr>
          <w:szCs w:val="24"/>
        </w:rPr>
        <w:t>from</w:t>
      </w:r>
      <w:r w:rsidR="00BB77F3" w:rsidRPr="00A66575">
        <w:rPr>
          <w:szCs w:val="24"/>
        </w:rPr>
        <w:t xml:space="preserve"> </w:t>
      </w:r>
      <w:r w:rsidRPr="00A66575">
        <w:rPr>
          <w:szCs w:val="24"/>
        </w:rPr>
        <w:t xml:space="preserve">smaller </w:t>
      </w:r>
      <w:r w:rsidR="00BB77F3">
        <w:rPr>
          <w:szCs w:val="24"/>
        </w:rPr>
        <w:t>to</w:t>
      </w:r>
      <w:r w:rsidRPr="00A66575">
        <w:rPr>
          <w:szCs w:val="24"/>
        </w:rPr>
        <w:t xml:space="preserve"> larger </w:t>
      </w:r>
      <w:r w:rsidR="00BB77F3">
        <w:rPr>
          <w:szCs w:val="24"/>
        </w:rPr>
        <w:t>(the latter greater than ten by five metres</w:t>
      </w:r>
      <w:r w:rsidRPr="00A66575">
        <w:rPr>
          <w:szCs w:val="24"/>
        </w:rPr>
        <w:t xml:space="preserve">). </w:t>
      </w:r>
    </w:p>
    <w:p w14:paraId="5ADB29E5" w14:textId="095FEB2A" w:rsidR="00774599" w:rsidRPr="00A66575" w:rsidRDefault="002B6260" w:rsidP="005E1E4C">
      <w:pPr>
        <w:spacing w:after="0" w:line="480" w:lineRule="auto"/>
        <w:ind w:firstLine="720"/>
        <w:rPr>
          <w:szCs w:val="24"/>
        </w:rPr>
      </w:pPr>
      <w:r>
        <w:rPr>
          <w:szCs w:val="24"/>
        </w:rPr>
        <w:t>Taken together, t</w:t>
      </w:r>
      <w:r w:rsidRPr="00A66575">
        <w:rPr>
          <w:szCs w:val="24"/>
        </w:rPr>
        <w:t xml:space="preserve">he clearest typological division for all villages is between small villages with uniform house sizes and large villages with variable house sizes. </w:t>
      </w:r>
      <w:r>
        <w:rPr>
          <w:szCs w:val="24"/>
        </w:rPr>
        <w:t>There</w:t>
      </w:r>
      <w:r w:rsidRPr="00A66575">
        <w:rPr>
          <w:szCs w:val="24"/>
        </w:rPr>
        <w:t xml:space="preserve"> is</w:t>
      </w:r>
      <w:r w:rsidR="00637EC6">
        <w:rPr>
          <w:szCs w:val="24"/>
        </w:rPr>
        <w:t>, however,</w:t>
      </w:r>
      <w:r w:rsidRPr="00A66575">
        <w:rPr>
          <w:szCs w:val="24"/>
        </w:rPr>
        <w:t xml:space="preserve"> variation between the layouts of large villages on the Dundas Islands</w:t>
      </w:r>
      <w:r w:rsidR="0034020F">
        <w:rPr>
          <w:szCs w:val="24"/>
        </w:rPr>
        <w:t xml:space="preserve"> (</w:t>
      </w:r>
      <w:r w:rsidR="0034020F" w:rsidRPr="00440A81">
        <w:rPr>
          <w:szCs w:val="24"/>
        </w:rPr>
        <w:t>Figure 5</w:t>
      </w:r>
      <w:r w:rsidR="0034020F">
        <w:rPr>
          <w:szCs w:val="24"/>
        </w:rPr>
        <w:t>)</w:t>
      </w:r>
      <w:r w:rsidRPr="00A66575">
        <w:rPr>
          <w:szCs w:val="24"/>
        </w:rPr>
        <w:t xml:space="preserve">. </w:t>
      </w:r>
      <w:r w:rsidR="00774599" w:rsidRPr="00A66575">
        <w:rPr>
          <w:szCs w:val="24"/>
        </w:rPr>
        <w:t xml:space="preserve">Large villages </w:t>
      </w:r>
      <w:r w:rsidR="00774599" w:rsidRPr="00A66575">
        <w:rPr>
          <w:szCs w:val="24"/>
        </w:rPr>
        <w:lastRenderedPageBreak/>
        <w:t>have more complex surface features, such as multiple terraces</w:t>
      </w:r>
      <w:r w:rsidR="00530CF7">
        <w:rPr>
          <w:szCs w:val="24"/>
        </w:rPr>
        <w:t>,</w:t>
      </w:r>
      <w:r w:rsidR="00774599" w:rsidRPr="00A66575">
        <w:rPr>
          <w:szCs w:val="24"/>
        </w:rPr>
        <w:t xml:space="preserve"> </w:t>
      </w:r>
      <w:r w:rsidR="00477A58">
        <w:rPr>
          <w:szCs w:val="24"/>
        </w:rPr>
        <w:t>structural</w:t>
      </w:r>
      <w:r w:rsidR="00774599" w:rsidRPr="00A66575">
        <w:rPr>
          <w:szCs w:val="24"/>
        </w:rPr>
        <w:t xml:space="preserve"> depressions offset from the linear rows</w:t>
      </w:r>
      <w:r w:rsidR="00530CF7">
        <w:rPr>
          <w:szCs w:val="24"/>
        </w:rPr>
        <w:t>, or even small wings of a few houses constructed beside the main house rows</w:t>
      </w:r>
      <w:r w:rsidR="005B407C">
        <w:rPr>
          <w:szCs w:val="24"/>
        </w:rPr>
        <w:t xml:space="preserve"> </w:t>
      </w:r>
      <w:r w:rsidR="00381017">
        <w:rPr>
          <w:szCs w:val="24"/>
        </w:rPr>
        <w:t>(</w:t>
      </w:r>
      <w:r w:rsidR="005B407C" w:rsidRPr="00440A81">
        <w:rPr>
          <w:szCs w:val="24"/>
        </w:rPr>
        <w:t>Figure 5a</w:t>
      </w:r>
      <w:r w:rsidR="00381017">
        <w:rPr>
          <w:szCs w:val="24"/>
        </w:rPr>
        <w:t xml:space="preserve"> and 5b</w:t>
      </w:r>
      <w:r w:rsidR="005B407C">
        <w:rPr>
          <w:szCs w:val="24"/>
        </w:rPr>
        <w:t>)</w:t>
      </w:r>
      <w:r w:rsidR="00774599" w:rsidRPr="00A66575">
        <w:rPr>
          <w:szCs w:val="24"/>
        </w:rPr>
        <w:t>.</w:t>
      </w:r>
      <w:r w:rsidR="00530CF7">
        <w:rPr>
          <w:szCs w:val="24"/>
        </w:rPr>
        <w:t xml:space="preserve"> The offset</w:t>
      </w:r>
      <w:r w:rsidR="00774599" w:rsidRPr="00A66575">
        <w:rPr>
          <w:szCs w:val="24"/>
        </w:rPr>
        <w:t xml:space="preserve"> depressions</w:t>
      </w:r>
      <w:r w:rsidR="00530CF7">
        <w:rPr>
          <w:szCs w:val="24"/>
        </w:rPr>
        <w:t xml:space="preserve"> and house rows are undated, though they</w:t>
      </w:r>
      <w:r w:rsidR="00774599" w:rsidRPr="00A66575">
        <w:rPr>
          <w:szCs w:val="24"/>
        </w:rPr>
        <w:t xml:space="preserve"> may represent structures other than residences (</w:t>
      </w:r>
      <w:proofErr w:type="spellStart"/>
      <w:r w:rsidR="00477A58">
        <w:rPr>
          <w:szCs w:val="24"/>
        </w:rPr>
        <w:t>Ruggles</w:t>
      </w:r>
      <w:proofErr w:type="spellEnd"/>
      <w:r w:rsidR="00477A58">
        <w:rPr>
          <w:szCs w:val="24"/>
        </w:rPr>
        <w:t xml:space="preserve"> 2007</w:t>
      </w:r>
      <w:r w:rsidR="00774599" w:rsidRPr="00A66575">
        <w:rPr>
          <w:szCs w:val="24"/>
        </w:rPr>
        <w:t xml:space="preserve">), houses that were appended to the existing villages </w:t>
      </w:r>
      <w:r w:rsidR="00477A58">
        <w:rPr>
          <w:szCs w:val="24"/>
        </w:rPr>
        <w:t>by groups of people joining the village</w:t>
      </w:r>
      <w:r w:rsidR="00774599" w:rsidRPr="00A66575">
        <w:rPr>
          <w:szCs w:val="24"/>
        </w:rPr>
        <w:t>, or occupations not contemporaneous with the main one and limited to a certain area, leaving a composite of patterns on the surface of one site. This latter option seems the case at the largest site</w:t>
      </w:r>
      <w:r w:rsidR="00376EDF">
        <w:rPr>
          <w:szCs w:val="24"/>
        </w:rPr>
        <w:t xml:space="preserve"> on the archipelago</w:t>
      </w:r>
      <w:r w:rsidR="00774599" w:rsidRPr="00A66575">
        <w:rPr>
          <w:szCs w:val="24"/>
        </w:rPr>
        <w:t>, GcTr-10 (</w:t>
      </w:r>
      <w:r w:rsidR="006273BF" w:rsidRPr="00A66575">
        <w:rPr>
          <w:szCs w:val="24"/>
        </w:rPr>
        <w:t>18,</w:t>
      </w:r>
      <w:r w:rsidR="006273BF">
        <w:rPr>
          <w:szCs w:val="24"/>
        </w:rPr>
        <w:t>3</w:t>
      </w:r>
      <w:r w:rsidR="006273BF" w:rsidRPr="00A66575">
        <w:rPr>
          <w:szCs w:val="24"/>
        </w:rPr>
        <w:t xml:space="preserve">00 </w:t>
      </w:r>
      <w:r w:rsidR="0034020F">
        <w:rPr>
          <w:szCs w:val="24"/>
        </w:rPr>
        <w:t>square metres</w:t>
      </w:r>
      <w:r w:rsidR="00774599" w:rsidRPr="00A66575">
        <w:rPr>
          <w:szCs w:val="24"/>
        </w:rPr>
        <w:t xml:space="preserve">), which has up to four distinct and overlying </w:t>
      </w:r>
      <w:r w:rsidR="00376EDF">
        <w:rPr>
          <w:szCs w:val="24"/>
        </w:rPr>
        <w:t>village</w:t>
      </w:r>
      <w:r w:rsidR="00774599" w:rsidRPr="00A66575">
        <w:rPr>
          <w:szCs w:val="24"/>
        </w:rPr>
        <w:t xml:space="preserve"> patterns</w:t>
      </w:r>
      <w:r w:rsidR="006273BF">
        <w:rPr>
          <w:szCs w:val="24"/>
        </w:rPr>
        <w:t xml:space="preserve"> indicated by house rows of different house shapes aligned perpendicular or offset from each other</w:t>
      </w:r>
      <w:r w:rsidR="00376EDF">
        <w:rPr>
          <w:szCs w:val="24"/>
        </w:rPr>
        <w:t>, suggesting abandonments and reoccupations of this location or occupations shifting with changing relative sea</w:t>
      </w:r>
      <w:r w:rsidR="00BB77F3">
        <w:rPr>
          <w:szCs w:val="24"/>
        </w:rPr>
        <w:t xml:space="preserve"> </w:t>
      </w:r>
      <w:r w:rsidR="00376EDF">
        <w:rPr>
          <w:szCs w:val="24"/>
        </w:rPr>
        <w:t>level</w:t>
      </w:r>
      <w:r w:rsidR="00155A74">
        <w:rPr>
          <w:szCs w:val="24"/>
        </w:rPr>
        <w:t xml:space="preserve"> or other geomorphological </w:t>
      </w:r>
      <w:r w:rsidR="00637EC6">
        <w:rPr>
          <w:szCs w:val="24"/>
        </w:rPr>
        <w:t>alterations</w:t>
      </w:r>
      <w:r w:rsidR="00774599" w:rsidRPr="00A66575">
        <w:rPr>
          <w:szCs w:val="24"/>
        </w:rPr>
        <w:t xml:space="preserve">. </w:t>
      </w:r>
    </w:p>
    <w:p w14:paraId="24E321DE" w14:textId="77777777" w:rsidR="00774599" w:rsidRPr="00A66575" w:rsidRDefault="00774599" w:rsidP="005E1E4C">
      <w:pPr>
        <w:spacing w:after="0" w:line="480" w:lineRule="auto"/>
        <w:ind w:firstLine="720"/>
        <w:rPr>
          <w:szCs w:val="24"/>
        </w:rPr>
      </w:pPr>
      <w:r w:rsidRPr="00A66575">
        <w:rPr>
          <w:szCs w:val="24"/>
        </w:rPr>
        <w:t xml:space="preserve">At </w:t>
      </w:r>
      <w:r w:rsidR="00C974AE">
        <w:rPr>
          <w:szCs w:val="24"/>
        </w:rPr>
        <w:t xml:space="preserve">five </w:t>
      </w:r>
      <w:r w:rsidR="00AF0D80">
        <w:rPr>
          <w:szCs w:val="24"/>
        </w:rPr>
        <w:t xml:space="preserve">large villages </w:t>
      </w:r>
      <w:r w:rsidRPr="00A66575">
        <w:rPr>
          <w:szCs w:val="24"/>
        </w:rPr>
        <w:t xml:space="preserve">there are a few square house depressions in front of the rows of better-defined rectangular house depressions. These different-shaped house forms may again be from a separate, less intensive occupation with a less formalized structure compared to that of the linear house rows, or represent different structure types within the same village occupation. In a study of standing house remains in Nuu-chah-nulth territory on southwest Vancouver Island, Mackie and Williamson (2003) demonstrate that multiple architectural styles of houses could be contemporaneous at single villages. Only intensive radiocarbon dating of </w:t>
      </w:r>
      <w:r w:rsidR="00376EDF">
        <w:rPr>
          <w:szCs w:val="24"/>
        </w:rPr>
        <w:t>these</w:t>
      </w:r>
      <w:r w:rsidRPr="00A66575">
        <w:rPr>
          <w:szCs w:val="24"/>
        </w:rPr>
        <w:t xml:space="preserve"> villages will allow us to sort out the contemporaneity of different archite</w:t>
      </w:r>
      <w:r w:rsidR="00376EDF">
        <w:rPr>
          <w:szCs w:val="24"/>
        </w:rPr>
        <w:t>ctural expressions in the past.</w:t>
      </w:r>
    </w:p>
    <w:p w14:paraId="3896F5CD" w14:textId="77777777" w:rsidR="00774599" w:rsidRPr="00A66575" w:rsidRDefault="00774599" w:rsidP="005E1E4C">
      <w:pPr>
        <w:spacing w:after="0" w:line="480" w:lineRule="auto"/>
        <w:ind w:firstLine="720"/>
        <w:rPr>
          <w:szCs w:val="24"/>
        </w:rPr>
      </w:pPr>
      <w:r w:rsidRPr="00A66575">
        <w:rPr>
          <w:szCs w:val="24"/>
        </w:rPr>
        <w:t>The most c</w:t>
      </w:r>
      <w:r w:rsidR="008D23CA">
        <w:rPr>
          <w:szCs w:val="24"/>
        </w:rPr>
        <w:t xml:space="preserve">ommon </w:t>
      </w:r>
      <w:r w:rsidR="00C974AE">
        <w:rPr>
          <w:szCs w:val="24"/>
        </w:rPr>
        <w:t xml:space="preserve">architectural arrangement </w:t>
      </w:r>
      <w:r w:rsidR="008D23CA">
        <w:rPr>
          <w:szCs w:val="24"/>
        </w:rPr>
        <w:t xml:space="preserve">for villages </w:t>
      </w:r>
      <w:r w:rsidRPr="00A66575">
        <w:rPr>
          <w:szCs w:val="24"/>
        </w:rPr>
        <w:t>in</w:t>
      </w:r>
      <w:r w:rsidR="00376EDF">
        <w:rPr>
          <w:szCs w:val="24"/>
        </w:rPr>
        <w:t xml:space="preserve"> Prince Rupert Harbour</w:t>
      </w:r>
      <w:r w:rsidRPr="00A66575">
        <w:rPr>
          <w:szCs w:val="24"/>
        </w:rPr>
        <w:t xml:space="preserve"> is a pattern of line</w:t>
      </w:r>
      <w:r w:rsidR="008D23CA">
        <w:rPr>
          <w:szCs w:val="24"/>
        </w:rPr>
        <w:t xml:space="preserve">ar rows with the largest house – </w:t>
      </w:r>
      <w:r w:rsidR="008D23CA" w:rsidRPr="00A66575">
        <w:rPr>
          <w:szCs w:val="24"/>
        </w:rPr>
        <w:t>considered</w:t>
      </w:r>
      <w:r w:rsidRPr="00A66575">
        <w:rPr>
          <w:szCs w:val="24"/>
        </w:rPr>
        <w:t xml:space="preserve"> to be highest ra</w:t>
      </w:r>
      <w:r w:rsidR="008D23CA">
        <w:rPr>
          <w:szCs w:val="24"/>
        </w:rPr>
        <w:t xml:space="preserve">nking household in the village – </w:t>
      </w:r>
      <w:r w:rsidR="008D23CA" w:rsidRPr="00A66575">
        <w:rPr>
          <w:szCs w:val="24"/>
        </w:rPr>
        <w:t>being</w:t>
      </w:r>
      <w:r w:rsidRPr="00A66575">
        <w:rPr>
          <w:szCs w:val="24"/>
        </w:rPr>
        <w:t xml:space="preserve"> near t</w:t>
      </w:r>
      <w:r w:rsidR="008D23CA">
        <w:rPr>
          <w:szCs w:val="24"/>
        </w:rPr>
        <w:t>he cent</w:t>
      </w:r>
      <w:r w:rsidR="00D763F7">
        <w:rPr>
          <w:szCs w:val="24"/>
        </w:rPr>
        <w:t>er</w:t>
      </w:r>
      <w:r w:rsidRPr="00A66575">
        <w:rPr>
          <w:szCs w:val="24"/>
        </w:rPr>
        <w:t xml:space="preserve"> of the front row closest to the water (</w:t>
      </w:r>
      <w:r w:rsidR="00223B8E">
        <w:rPr>
          <w:szCs w:val="24"/>
        </w:rPr>
        <w:t xml:space="preserve">Archer 2001; </w:t>
      </w:r>
      <w:r w:rsidRPr="00A66575">
        <w:rPr>
          <w:szCs w:val="24"/>
        </w:rPr>
        <w:t xml:space="preserve">Coupland 2006). </w:t>
      </w:r>
      <w:r w:rsidRPr="00A66575">
        <w:rPr>
          <w:color w:val="auto"/>
          <w:szCs w:val="24"/>
        </w:rPr>
        <w:t xml:space="preserve">Most of the </w:t>
      </w:r>
      <w:r w:rsidR="006E7361">
        <w:rPr>
          <w:color w:val="auto"/>
          <w:szCs w:val="24"/>
        </w:rPr>
        <w:t xml:space="preserve">sites designated as </w:t>
      </w:r>
      <w:r w:rsidRPr="00A66575">
        <w:rPr>
          <w:color w:val="auto"/>
          <w:szCs w:val="24"/>
        </w:rPr>
        <w:t>vill</w:t>
      </w:r>
      <w:r w:rsidRPr="00A66575">
        <w:rPr>
          <w:szCs w:val="24"/>
        </w:rPr>
        <w:t>ages on the Dundas Islands</w:t>
      </w:r>
      <w:r w:rsidR="009D1AB9">
        <w:rPr>
          <w:szCs w:val="24"/>
        </w:rPr>
        <w:t xml:space="preserve"> group</w:t>
      </w:r>
      <w:r w:rsidRPr="00A66575">
        <w:rPr>
          <w:szCs w:val="24"/>
        </w:rPr>
        <w:t xml:space="preserve"> have linear rows, but </w:t>
      </w:r>
      <w:r w:rsidRPr="00A66575">
        <w:rPr>
          <w:szCs w:val="24"/>
        </w:rPr>
        <w:lastRenderedPageBreak/>
        <w:t>the location of large houses varies from the P</w:t>
      </w:r>
      <w:r w:rsidR="008D23CA">
        <w:rPr>
          <w:szCs w:val="24"/>
        </w:rPr>
        <w:t>rince Rupert Harbour style, with some in the cent</w:t>
      </w:r>
      <w:r w:rsidR="00AF2155">
        <w:rPr>
          <w:szCs w:val="24"/>
        </w:rPr>
        <w:t>re</w:t>
      </w:r>
      <w:r w:rsidRPr="00A66575">
        <w:rPr>
          <w:szCs w:val="24"/>
        </w:rPr>
        <w:t>-fr</w:t>
      </w:r>
      <w:r w:rsidR="008D23CA">
        <w:rPr>
          <w:szCs w:val="24"/>
        </w:rPr>
        <w:t>ont (</w:t>
      </w:r>
      <w:r w:rsidR="002B6260" w:rsidRPr="00440A81">
        <w:rPr>
          <w:szCs w:val="24"/>
        </w:rPr>
        <w:t>Figure 5</w:t>
      </w:r>
      <w:r w:rsidR="005B407C" w:rsidRPr="00440A81">
        <w:rPr>
          <w:szCs w:val="24"/>
        </w:rPr>
        <w:t>a</w:t>
      </w:r>
      <w:r w:rsidR="008D23CA">
        <w:rPr>
          <w:szCs w:val="24"/>
        </w:rPr>
        <w:t>)</w:t>
      </w:r>
      <w:r w:rsidR="00AF2155">
        <w:rPr>
          <w:szCs w:val="24"/>
        </w:rPr>
        <w:t>,</w:t>
      </w:r>
      <w:r w:rsidR="008D23CA">
        <w:rPr>
          <w:szCs w:val="24"/>
        </w:rPr>
        <w:t xml:space="preserve"> others in the </w:t>
      </w:r>
      <w:r w:rsidR="00155A74">
        <w:rPr>
          <w:szCs w:val="24"/>
        </w:rPr>
        <w:t>cent</w:t>
      </w:r>
      <w:r w:rsidR="00AF2155">
        <w:rPr>
          <w:szCs w:val="24"/>
        </w:rPr>
        <w:t>re</w:t>
      </w:r>
      <w:r w:rsidRPr="00A66575">
        <w:rPr>
          <w:szCs w:val="24"/>
        </w:rPr>
        <w:t>-back</w:t>
      </w:r>
      <w:r w:rsidR="00C974AE">
        <w:rPr>
          <w:szCs w:val="24"/>
        </w:rPr>
        <w:t>,</w:t>
      </w:r>
      <w:r w:rsidRPr="00A66575">
        <w:rPr>
          <w:szCs w:val="24"/>
        </w:rPr>
        <w:t xml:space="preserve"> and others that are unclear or undefined (</w:t>
      </w:r>
      <w:r w:rsidR="00C93707" w:rsidRPr="00440A81">
        <w:rPr>
          <w:szCs w:val="24"/>
        </w:rPr>
        <w:t xml:space="preserve">Table </w:t>
      </w:r>
      <w:r w:rsidR="005B407C">
        <w:rPr>
          <w:szCs w:val="24"/>
        </w:rPr>
        <w:t>1</w:t>
      </w:r>
      <w:r w:rsidR="009E1CD9">
        <w:rPr>
          <w:szCs w:val="24"/>
        </w:rPr>
        <w:t>)</w:t>
      </w:r>
      <w:r w:rsidRPr="00A66575">
        <w:rPr>
          <w:szCs w:val="24"/>
        </w:rPr>
        <w:t xml:space="preserve">. In </w:t>
      </w:r>
      <w:r w:rsidR="00381017">
        <w:rPr>
          <w:szCs w:val="24"/>
        </w:rPr>
        <w:t>further contrast</w:t>
      </w:r>
      <w:r w:rsidR="00F346A0">
        <w:rPr>
          <w:szCs w:val="24"/>
        </w:rPr>
        <w:t>,</w:t>
      </w:r>
      <w:r w:rsidRPr="00A66575">
        <w:rPr>
          <w:szCs w:val="24"/>
        </w:rPr>
        <w:t xml:space="preserve"> two villages on the Dundas Isl</w:t>
      </w:r>
      <w:r w:rsidR="009E1CD9">
        <w:rPr>
          <w:szCs w:val="24"/>
        </w:rPr>
        <w:t>ands</w:t>
      </w:r>
      <w:r w:rsidRPr="00A66575">
        <w:rPr>
          <w:szCs w:val="24"/>
        </w:rPr>
        <w:t xml:space="preserve"> have rows of houses that curve inwards on the ends to the point</w:t>
      </w:r>
      <w:r w:rsidR="008D23CA">
        <w:rPr>
          <w:szCs w:val="24"/>
        </w:rPr>
        <w:t xml:space="preserve"> where they face into the </w:t>
      </w:r>
      <w:r w:rsidR="00155A74">
        <w:rPr>
          <w:szCs w:val="24"/>
        </w:rPr>
        <w:t>cent</w:t>
      </w:r>
      <w:r w:rsidR="00AF2155">
        <w:rPr>
          <w:szCs w:val="24"/>
        </w:rPr>
        <w:t>re</w:t>
      </w:r>
      <w:r w:rsidRPr="00A66575">
        <w:rPr>
          <w:szCs w:val="24"/>
        </w:rPr>
        <w:t xml:space="preserve"> of the site, rather than out to the beach in front</w:t>
      </w:r>
      <w:r w:rsidR="005B407C">
        <w:rPr>
          <w:szCs w:val="24"/>
        </w:rPr>
        <w:t xml:space="preserve"> (</w:t>
      </w:r>
      <w:r w:rsidR="005B407C" w:rsidRPr="00440A81">
        <w:rPr>
          <w:szCs w:val="24"/>
        </w:rPr>
        <w:t>Figure 5b</w:t>
      </w:r>
      <w:r w:rsidR="005B407C">
        <w:rPr>
          <w:szCs w:val="24"/>
        </w:rPr>
        <w:t>)</w:t>
      </w:r>
      <w:r w:rsidRPr="00A66575">
        <w:rPr>
          <w:szCs w:val="24"/>
        </w:rPr>
        <w:t xml:space="preserve">. These rows are set back into the woods following the curve of a back shell ridge. The </w:t>
      </w:r>
      <w:r w:rsidR="008D23CA">
        <w:rPr>
          <w:szCs w:val="24"/>
        </w:rPr>
        <w:t xml:space="preserve">largest houses are in the </w:t>
      </w:r>
      <w:proofErr w:type="spellStart"/>
      <w:r w:rsidR="00155A74">
        <w:rPr>
          <w:szCs w:val="24"/>
        </w:rPr>
        <w:t>cent</w:t>
      </w:r>
      <w:r w:rsidR="00AF2155">
        <w:rPr>
          <w:szCs w:val="24"/>
        </w:rPr>
        <w:t>re</w:t>
      </w:r>
      <w:r w:rsidR="00155A74" w:rsidRPr="00A66575">
        <w:rPr>
          <w:szCs w:val="24"/>
        </w:rPr>
        <w:t>s</w:t>
      </w:r>
      <w:proofErr w:type="spellEnd"/>
      <w:r w:rsidRPr="00A66575">
        <w:rPr>
          <w:szCs w:val="24"/>
        </w:rPr>
        <w:t xml:space="preserve"> of these back rows, rather than at the front of the site. </w:t>
      </w:r>
      <w:r w:rsidR="00F346A0">
        <w:rPr>
          <w:szCs w:val="24"/>
        </w:rPr>
        <w:t xml:space="preserve">As demonstrated below, these large villages with different </w:t>
      </w:r>
      <w:r w:rsidR="00070A9F">
        <w:rPr>
          <w:szCs w:val="24"/>
        </w:rPr>
        <w:t xml:space="preserve">architectural </w:t>
      </w:r>
      <w:r w:rsidR="00BA0A58">
        <w:rPr>
          <w:szCs w:val="24"/>
        </w:rPr>
        <w:t>arrangement</w:t>
      </w:r>
      <w:r w:rsidR="00E734BD">
        <w:rPr>
          <w:szCs w:val="24"/>
        </w:rPr>
        <w:t>s</w:t>
      </w:r>
      <w:r w:rsidR="00BA0A58">
        <w:rPr>
          <w:szCs w:val="24"/>
        </w:rPr>
        <w:t xml:space="preserve"> </w:t>
      </w:r>
      <w:r w:rsidR="00F346A0">
        <w:rPr>
          <w:szCs w:val="24"/>
        </w:rPr>
        <w:t>are contemporaneously occupied, perhaps signaling different group identities on the Dundas Island archipelago.</w:t>
      </w:r>
    </w:p>
    <w:p w14:paraId="12607D23" w14:textId="77777777" w:rsidR="00774599" w:rsidRPr="00A757C2" w:rsidRDefault="00774599" w:rsidP="005E1E4C">
      <w:pPr>
        <w:spacing w:after="0" w:line="480" w:lineRule="auto"/>
        <w:ind w:firstLine="720"/>
        <w:rPr>
          <w:szCs w:val="24"/>
        </w:rPr>
      </w:pPr>
    </w:p>
    <w:p w14:paraId="1AAD5C04" w14:textId="77777777" w:rsidR="00A8589D" w:rsidRPr="005B407C" w:rsidRDefault="00F346A0" w:rsidP="005E1E4C">
      <w:pPr>
        <w:pStyle w:val="Heading2"/>
        <w:spacing w:before="0" w:line="480" w:lineRule="auto"/>
        <w:rPr>
          <w:rFonts w:ascii="Times New Roman" w:hAnsi="Times New Roman" w:cs="Times New Roman"/>
          <w:b w:val="0"/>
          <w:sz w:val="24"/>
          <w:szCs w:val="24"/>
          <w:lang w:val="en-GB"/>
        </w:rPr>
      </w:pPr>
      <w:r w:rsidRPr="005B407C">
        <w:rPr>
          <w:rFonts w:ascii="Times New Roman" w:hAnsi="Times New Roman" w:cs="Times New Roman"/>
          <w:b w:val="0"/>
          <w:sz w:val="24"/>
          <w:szCs w:val="24"/>
          <w:lang w:val="en-GB"/>
        </w:rPr>
        <w:t>SETTLEMENT PATTERNS AND CHRONOLOGICAL TRENDS</w:t>
      </w:r>
    </w:p>
    <w:p w14:paraId="07AFD70E" w14:textId="3854B136" w:rsidR="00F346A0" w:rsidRDefault="00F346A0" w:rsidP="005E1E4C">
      <w:pPr>
        <w:spacing w:after="0" w:line="480" w:lineRule="auto"/>
        <w:rPr>
          <w:szCs w:val="24"/>
        </w:rPr>
      </w:pPr>
      <w:r>
        <w:rPr>
          <w:szCs w:val="24"/>
        </w:rPr>
        <w:tab/>
        <w:t>To</w:t>
      </w:r>
      <w:r w:rsidR="005B26E3">
        <w:rPr>
          <w:szCs w:val="24"/>
        </w:rPr>
        <w:t xml:space="preserve"> work towards</w:t>
      </w:r>
      <w:r>
        <w:rPr>
          <w:szCs w:val="24"/>
        </w:rPr>
        <w:t xml:space="preserve"> understand</w:t>
      </w:r>
      <w:r w:rsidR="005B26E3">
        <w:rPr>
          <w:szCs w:val="24"/>
        </w:rPr>
        <w:t>ing</w:t>
      </w:r>
      <w:r>
        <w:rPr>
          <w:szCs w:val="24"/>
        </w:rPr>
        <w:t xml:space="preserve"> the settlement history of the Dundas Islands, </w:t>
      </w:r>
      <w:r w:rsidR="00CB2449">
        <w:rPr>
          <w:szCs w:val="24"/>
        </w:rPr>
        <w:t xml:space="preserve">we obtained </w:t>
      </w:r>
      <w:r w:rsidR="00DF3483">
        <w:rPr>
          <w:szCs w:val="24"/>
        </w:rPr>
        <w:t>seventy-</w:t>
      </w:r>
      <w:r w:rsidR="009D1AB9">
        <w:rPr>
          <w:szCs w:val="24"/>
        </w:rPr>
        <w:t>eight</w:t>
      </w:r>
      <w:r w:rsidR="005B26E3">
        <w:rPr>
          <w:szCs w:val="24"/>
        </w:rPr>
        <w:t xml:space="preserve"> radiocarbon dates on samples from thirteen sites (</w:t>
      </w:r>
      <w:r w:rsidR="005B26E3" w:rsidRPr="00440A81">
        <w:rPr>
          <w:szCs w:val="24"/>
        </w:rPr>
        <w:t xml:space="preserve">Table </w:t>
      </w:r>
      <w:r w:rsidR="005B407C" w:rsidRPr="00440A81">
        <w:rPr>
          <w:szCs w:val="24"/>
        </w:rPr>
        <w:t>2</w:t>
      </w:r>
      <w:r w:rsidR="00053C71">
        <w:rPr>
          <w:szCs w:val="24"/>
        </w:rPr>
        <w:t xml:space="preserve">, </w:t>
      </w:r>
      <w:r w:rsidR="00053C71" w:rsidRPr="00440A81">
        <w:rPr>
          <w:szCs w:val="24"/>
        </w:rPr>
        <w:t xml:space="preserve">Figure </w:t>
      </w:r>
      <w:r w:rsidR="005B407C" w:rsidRPr="00440A81">
        <w:rPr>
          <w:szCs w:val="24"/>
        </w:rPr>
        <w:t>6</w:t>
      </w:r>
      <w:r w:rsidR="005B26E3">
        <w:rPr>
          <w:szCs w:val="24"/>
        </w:rPr>
        <w:t>). Of these thirteen sites, all but two</w:t>
      </w:r>
      <w:r w:rsidR="00CB2449">
        <w:rPr>
          <w:szCs w:val="24"/>
        </w:rPr>
        <w:t xml:space="preserve"> (GcTr-7 and GcTq-2)</w:t>
      </w:r>
      <w:r w:rsidR="005B26E3">
        <w:rPr>
          <w:szCs w:val="24"/>
        </w:rPr>
        <w:t xml:space="preserve"> </w:t>
      </w:r>
      <w:r w:rsidR="00A20C69">
        <w:rPr>
          <w:szCs w:val="24"/>
        </w:rPr>
        <w:t xml:space="preserve">have </w:t>
      </w:r>
      <w:r w:rsidR="005B26E3" w:rsidRPr="00A66575">
        <w:rPr>
          <w:szCs w:val="24"/>
        </w:rPr>
        <w:t>shell-bearing</w:t>
      </w:r>
      <w:r w:rsidR="00A20C69">
        <w:rPr>
          <w:szCs w:val="24"/>
        </w:rPr>
        <w:t xml:space="preserve"> components</w:t>
      </w:r>
      <w:r w:rsidR="005B26E3" w:rsidRPr="00A66575">
        <w:rPr>
          <w:szCs w:val="24"/>
        </w:rPr>
        <w:t>. Most dates were taken as basal and terminal bracketing dates from percussion core samples</w:t>
      </w:r>
      <w:r w:rsidR="000140B9">
        <w:rPr>
          <w:szCs w:val="24"/>
        </w:rPr>
        <w:t xml:space="preserve"> that captured the entire sequence of archaeological stratigraphy</w:t>
      </w:r>
      <w:r w:rsidR="005B26E3" w:rsidRPr="00A66575">
        <w:rPr>
          <w:szCs w:val="24"/>
        </w:rPr>
        <w:t xml:space="preserve"> (Martindale et al. 2009), </w:t>
      </w:r>
      <w:r w:rsidR="00DD3AB3">
        <w:rPr>
          <w:szCs w:val="24"/>
        </w:rPr>
        <w:t>al</w:t>
      </w:r>
      <w:r w:rsidR="005B26E3" w:rsidRPr="00A66575">
        <w:rPr>
          <w:szCs w:val="24"/>
        </w:rPr>
        <w:t>though a few dates were collected from auger samples</w:t>
      </w:r>
      <w:r w:rsidR="005B26E3">
        <w:rPr>
          <w:szCs w:val="24"/>
        </w:rPr>
        <w:t xml:space="preserve"> (</w:t>
      </w:r>
      <w:proofErr w:type="spellStart"/>
      <w:r w:rsidR="005B26E3">
        <w:rPr>
          <w:szCs w:val="24"/>
        </w:rPr>
        <w:t>Hallmann</w:t>
      </w:r>
      <w:proofErr w:type="spellEnd"/>
      <w:r w:rsidR="005B26E3">
        <w:rPr>
          <w:szCs w:val="24"/>
        </w:rPr>
        <w:t xml:space="preserve"> et al. 2013) and </w:t>
      </w:r>
      <w:r w:rsidR="007066B4">
        <w:rPr>
          <w:szCs w:val="24"/>
        </w:rPr>
        <w:t xml:space="preserve">conventional </w:t>
      </w:r>
      <w:r w:rsidR="005B26E3">
        <w:rPr>
          <w:szCs w:val="24"/>
        </w:rPr>
        <w:t>excavation (McLaren et al. 2011)</w:t>
      </w:r>
      <w:r w:rsidR="005B26E3" w:rsidRPr="00A66575">
        <w:rPr>
          <w:szCs w:val="24"/>
        </w:rPr>
        <w:t xml:space="preserve">. </w:t>
      </w:r>
      <w:r w:rsidR="0065613E">
        <w:rPr>
          <w:szCs w:val="24"/>
        </w:rPr>
        <w:t xml:space="preserve">We assessed the association of dates with the basal and terminal components of specific site types </w:t>
      </w:r>
      <w:r w:rsidR="005B407C">
        <w:rPr>
          <w:szCs w:val="24"/>
        </w:rPr>
        <w:t>as well as analyzed</w:t>
      </w:r>
      <w:r w:rsidR="0065613E">
        <w:rPr>
          <w:szCs w:val="24"/>
        </w:rPr>
        <w:t xml:space="preserve"> the overall pattern of dates via summed probability</w:t>
      </w:r>
      <w:r w:rsidR="00DB02D2">
        <w:rPr>
          <w:szCs w:val="24"/>
        </w:rPr>
        <w:t>, a statistical method of combining the calibrated ages of multiple radiocarbon dates</w:t>
      </w:r>
      <w:r w:rsidR="0065613E">
        <w:rPr>
          <w:szCs w:val="24"/>
        </w:rPr>
        <w:t xml:space="preserve">. </w:t>
      </w:r>
      <w:r w:rsidR="009E1CD9">
        <w:rPr>
          <w:szCs w:val="24"/>
        </w:rPr>
        <w:t>T</w:t>
      </w:r>
      <w:r w:rsidR="005B407C">
        <w:rPr>
          <w:szCs w:val="24"/>
        </w:rPr>
        <w:t xml:space="preserve">he dates accord with the Dundas Islands relative sea level curve. </w:t>
      </w:r>
      <w:r w:rsidR="00DD3AB3">
        <w:rPr>
          <w:szCs w:val="24"/>
        </w:rPr>
        <w:t>D</w:t>
      </w:r>
      <w:r w:rsidR="005B26E3" w:rsidRPr="00A66575">
        <w:rPr>
          <w:szCs w:val="24"/>
        </w:rPr>
        <w:t xml:space="preserve">ates older than </w:t>
      </w:r>
      <w:r w:rsidR="000140B9">
        <w:rPr>
          <w:szCs w:val="24"/>
        </w:rPr>
        <w:t xml:space="preserve">6100 </w:t>
      </w:r>
      <w:proofErr w:type="spellStart"/>
      <w:r w:rsidR="00A20C69">
        <w:rPr>
          <w:szCs w:val="24"/>
        </w:rPr>
        <w:t>cal</w:t>
      </w:r>
      <w:proofErr w:type="spellEnd"/>
      <w:r w:rsidR="00A20C69">
        <w:rPr>
          <w:szCs w:val="24"/>
        </w:rPr>
        <w:t xml:space="preserve"> </w:t>
      </w:r>
      <w:proofErr w:type="spellStart"/>
      <w:r w:rsidR="00A20C69">
        <w:rPr>
          <w:szCs w:val="24"/>
        </w:rPr>
        <w:t>yr</w:t>
      </w:r>
      <w:proofErr w:type="spellEnd"/>
      <w:r w:rsidR="00A6084B">
        <w:rPr>
          <w:szCs w:val="24"/>
        </w:rPr>
        <w:t xml:space="preserve"> </w:t>
      </w:r>
      <w:r w:rsidR="005B26E3" w:rsidRPr="00A66575">
        <w:rPr>
          <w:szCs w:val="24"/>
        </w:rPr>
        <w:t>BP</w:t>
      </w:r>
      <w:r w:rsidR="000140B9">
        <w:rPr>
          <w:szCs w:val="24"/>
        </w:rPr>
        <w:t xml:space="preserve"> are consistently </w:t>
      </w:r>
      <w:r w:rsidR="00DB02D2">
        <w:rPr>
          <w:szCs w:val="24"/>
        </w:rPr>
        <w:t xml:space="preserve">above </w:t>
      </w:r>
      <w:r w:rsidR="000140B9">
        <w:rPr>
          <w:szCs w:val="24"/>
        </w:rPr>
        <w:t>7.5 m</w:t>
      </w:r>
      <w:r w:rsidR="00DD3AB3">
        <w:rPr>
          <w:szCs w:val="24"/>
        </w:rPr>
        <w:t>etres</w:t>
      </w:r>
      <w:r w:rsidR="000140B9">
        <w:rPr>
          <w:szCs w:val="24"/>
        </w:rPr>
        <w:t xml:space="preserve"> ASL</w:t>
      </w:r>
      <w:r w:rsidR="005B26E3" w:rsidRPr="00A66575">
        <w:rPr>
          <w:szCs w:val="24"/>
        </w:rPr>
        <w:t xml:space="preserve">, and there is a general trend towards lower elevations </w:t>
      </w:r>
      <w:r w:rsidR="005B26E3" w:rsidRPr="00A66575">
        <w:rPr>
          <w:szCs w:val="24"/>
        </w:rPr>
        <w:lastRenderedPageBreak/>
        <w:t>as the dates get younger, indicating that habitation site locations followed regressing sea levels</w:t>
      </w:r>
      <w:r w:rsidR="005B26E3" w:rsidRPr="00A66575">
        <w:rPr>
          <w:color w:val="000000" w:themeColor="text1"/>
          <w:szCs w:val="24"/>
        </w:rPr>
        <w:t xml:space="preserve"> (McLaren et al. 2011). </w:t>
      </w:r>
    </w:p>
    <w:p w14:paraId="7FD9E024" w14:textId="46357416" w:rsidR="00F346A0" w:rsidRDefault="003B0A05" w:rsidP="005E1E4C">
      <w:pPr>
        <w:spacing w:after="0" w:line="480" w:lineRule="auto"/>
        <w:rPr>
          <w:szCs w:val="24"/>
        </w:rPr>
      </w:pPr>
      <w:r>
        <w:rPr>
          <w:szCs w:val="24"/>
        </w:rPr>
        <w:tab/>
      </w:r>
      <w:r w:rsidR="003C2497">
        <w:rPr>
          <w:szCs w:val="24"/>
        </w:rPr>
        <w:t>Taken together, the</w:t>
      </w:r>
      <w:r w:rsidR="00DB02D2">
        <w:rPr>
          <w:szCs w:val="24"/>
        </w:rPr>
        <w:t>se</w:t>
      </w:r>
      <w:r w:rsidR="003C2497">
        <w:rPr>
          <w:szCs w:val="24"/>
        </w:rPr>
        <w:t xml:space="preserve"> </w:t>
      </w:r>
      <w:r>
        <w:rPr>
          <w:szCs w:val="24"/>
        </w:rPr>
        <w:t xml:space="preserve">radiocarbon </w:t>
      </w:r>
      <w:r w:rsidR="00DB02D2">
        <w:rPr>
          <w:szCs w:val="24"/>
        </w:rPr>
        <w:t xml:space="preserve">ages </w:t>
      </w:r>
      <w:r w:rsidR="00BF242D">
        <w:rPr>
          <w:szCs w:val="24"/>
        </w:rPr>
        <w:t>suggest</w:t>
      </w:r>
      <w:r>
        <w:rPr>
          <w:szCs w:val="24"/>
        </w:rPr>
        <w:t xml:space="preserve"> continuous long-term occupation of the Dundas Islands for the entire Holocene, </w:t>
      </w:r>
      <w:r w:rsidR="007262D6">
        <w:rPr>
          <w:szCs w:val="24"/>
        </w:rPr>
        <w:t>al</w:t>
      </w:r>
      <w:r>
        <w:rPr>
          <w:szCs w:val="24"/>
        </w:rPr>
        <w:t>though the scale and form of the settlement has changed – often dramatically – through this long period. In general</w:t>
      </w:r>
      <w:r w:rsidR="006A3206">
        <w:rPr>
          <w:szCs w:val="24"/>
        </w:rPr>
        <w:t>,</w:t>
      </w:r>
      <w:r>
        <w:rPr>
          <w:szCs w:val="24"/>
        </w:rPr>
        <w:t xml:space="preserve"> </w:t>
      </w:r>
      <w:r w:rsidR="006A3206">
        <w:rPr>
          <w:szCs w:val="24"/>
        </w:rPr>
        <w:t xml:space="preserve">settlements </w:t>
      </w:r>
      <w:r>
        <w:rPr>
          <w:szCs w:val="24"/>
        </w:rPr>
        <w:t>increase</w:t>
      </w:r>
      <w:r w:rsidR="006A3206">
        <w:rPr>
          <w:szCs w:val="24"/>
        </w:rPr>
        <w:t>d</w:t>
      </w:r>
      <w:r>
        <w:rPr>
          <w:szCs w:val="24"/>
        </w:rPr>
        <w:t xml:space="preserve"> in size through time, </w:t>
      </w:r>
      <w:r w:rsidR="006A3206">
        <w:rPr>
          <w:szCs w:val="24"/>
        </w:rPr>
        <w:t>al</w:t>
      </w:r>
      <w:r>
        <w:rPr>
          <w:szCs w:val="24"/>
        </w:rPr>
        <w:t xml:space="preserve">though small sites </w:t>
      </w:r>
      <w:r w:rsidR="006A3206">
        <w:rPr>
          <w:szCs w:val="24"/>
        </w:rPr>
        <w:t>persisted into</w:t>
      </w:r>
      <w:r>
        <w:rPr>
          <w:szCs w:val="24"/>
        </w:rPr>
        <w:t xml:space="preserve"> later times, indicating that the range of site types </w:t>
      </w:r>
      <w:r w:rsidR="00F20718">
        <w:rPr>
          <w:szCs w:val="24"/>
        </w:rPr>
        <w:t>is additive rather than a replacement</w:t>
      </w:r>
      <w:r>
        <w:rPr>
          <w:szCs w:val="24"/>
        </w:rPr>
        <w:t xml:space="preserve">. Sometime between 1900 and 1300 </w:t>
      </w:r>
      <w:proofErr w:type="spellStart"/>
      <w:r>
        <w:rPr>
          <w:szCs w:val="24"/>
        </w:rPr>
        <w:t>cal</w:t>
      </w:r>
      <w:proofErr w:type="spellEnd"/>
      <w:r w:rsidR="003C2497">
        <w:rPr>
          <w:szCs w:val="24"/>
        </w:rPr>
        <w:t xml:space="preserve"> </w:t>
      </w:r>
      <w:proofErr w:type="spellStart"/>
      <w:r w:rsidR="003C2497">
        <w:rPr>
          <w:szCs w:val="24"/>
        </w:rPr>
        <w:t>yr</w:t>
      </w:r>
      <w:proofErr w:type="spellEnd"/>
      <w:r>
        <w:rPr>
          <w:szCs w:val="24"/>
        </w:rPr>
        <w:t xml:space="preserve"> BP</w:t>
      </w:r>
      <w:r w:rsidR="006A3206">
        <w:rPr>
          <w:szCs w:val="24"/>
        </w:rPr>
        <w:t>,</w:t>
      </w:r>
      <w:r>
        <w:rPr>
          <w:szCs w:val="24"/>
        </w:rPr>
        <w:t xml:space="preserve"> however, </w:t>
      </w:r>
      <w:r w:rsidR="006B1CE1">
        <w:rPr>
          <w:szCs w:val="24"/>
        </w:rPr>
        <w:t>occupation shifted away from the large villages</w:t>
      </w:r>
      <w:r w:rsidR="00511786">
        <w:rPr>
          <w:szCs w:val="24"/>
        </w:rPr>
        <w:t>, although resource collection continue</w:t>
      </w:r>
      <w:r w:rsidR="006A3206">
        <w:rPr>
          <w:szCs w:val="24"/>
        </w:rPr>
        <w:t>d</w:t>
      </w:r>
      <w:r w:rsidR="00511786">
        <w:rPr>
          <w:szCs w:val="24"/>
        </w:rPr>
        <w:t xml:space="preserve"> on the islands </w:t>
      </w:r>
      <w:r w:rsidR="006A3206">
        <w:rPr>
          <w:szCs w:val="24"/>
        </w:rPr>
        <w:t xml:space="preserve">up to </w:t>
      </w:r>
      <w:r w:rsidR="00511786">
        <w:rPr>
          <w:szCs w:val="24"/>
        </w:rPr>
        <w:t>the present day.</w:t>
      </w:r>
      <w:r>
        <w:rPr>
          <w:szCs w:val="24"/>
        </w:rPr>
        <w:t xml:space="preserve"> What these data concretely demonstrate is that these outer islands have the oldest currently recorded archaeological record in </w:t>
      </w:r>
      <w:r w:rsidR="008E6B96">
        <w:rPr>
          <w:szCs w:val="24"/>
        </w:rPr>
        <w:t xml:space="preserve">Northern </w:t>
      </w:r>
      <w:r>
        <w:rPr>
          <w:szCs w:val="24"/>
        </w:rPr>
        <w:t>Tsimshian territory and that by at least the mid-Holocene the occupation of these islands was of a scale comparable to that on the mainland coast.</w:t>
      </w:r>
    </w:p>
    <w:p w14:paraId="6478BDC9" w14:textId="77777777" w:rsidR="00F346A0" w:rsidRDefault="00F346A0" w:rsidP="005E1E4C">
      <w:pPr>
        <w:spacing w:after="0" w:line="480" w:lineRule="auto"/>
        <w:rPr>
          <w:szCs w:val="24"/>
        </w:rPr>
      </w:pPr>
    </w:p>
    <w:p w14:paraId="0715B9D7" w14:textId="77777777" w:rsidR="00F0444E" w:rsidRPr="000F27DC" w:rsidRDefault="00F0444E" w:rsidP="005E1E4C">
      <w:pPr>
        <w:spacing w:after="0" w:line="480" w:lineRule="auto"/>
        <w:rPr>
          <w:b/>
          <w:i/>
          <w:szCs w:val="24"/>
        </w:rPr>
      </w:pPr>
      <w:r w:rsidRPr="000F27DC">
        <w:rPr>
          <w:b/>
          <w:i/>
          <w:szCs w:val="24"/>
        </w:rPr>
        <w:t>1</w:t>
      </w:r>
      <w:r w:rsidR="00257E4B" w:rsidRPr="000F27DC">
        <w:rPr>
          <w:b/>
          <w:i/>
          <w:szCs w:val="24"/>
        </w:rPr>
        <w:t>1</w:t>
      </w:r>
      <w:r w:rsidRPr="000F27DC">
        <w:rPr>
          <w:b/>
          <w:i/>
          <w:szCs w:val="24"/>
        </w:rPr>
        <w:t xml:space="preserve">,000 </w:t>
      </w:r>
      <w:r w:rsidR="00E734BD">
        <w:rPr>
          <w:b/>
          <w:i/>
          <w:szCs w:val="24"/>
        </w:rPr>
        <w:t>to</w:t>
      </w:r>
      <w:r w:rsidRPr="000F27DC">
        <w:rPr>
          <w:b/>
          <w:i/>
          <w:szCs w:val="24"/>
        </w:rPr>
        <w:t xml:space="preserve"> 5000 BP: </w:t>
      </w:r>
      <w:r w:rsidR="000F27DC" w:rsidRPr="000F27DC">
        <w:rPr>
          <w:b/>
          <w:i/>
          <w:szCs w:val="24"/>
        </w:rPr>
        <w:t>Early Marine Adaptations and the Emergence of the First Small Villages</w:t>
      </w:r>
    </w:p>
    <w:p w14:paraId="67871D35" w14:textId="54EF4D0E" w:rsidR="00BF4A93" w:rsidRPr="008E0DC9" w:rsidRDefault="00F0444E" w:rsidP="005E1E4C">
      <w:pPr>
        <w:spacing w:after="0" w:line="480" w:lineRule="auto"/>
        <w:rPr>
          <w:rFonts w:ascii="Calibri" w:eastAsia="Times New Roman" w:hAnsi="Calibri"/>
          <w:sz w:val="22"/>
          <w:szCs w:val="22"/>
        </w:rPr>
      </w:pPr>
      <w:r>
        <w:rPr>
          <w:szCs w:val="24"/>
        </w:rPr>
        <w:tab/>
        <w:t xml:space="preserve">One of the most notable aspects of the archaeological settlement data from the Dundas Islands </w:t>
      </w:r>
      <w:r w:rsidR="004D2546">
        <w:rPr>
          <w:szCs w:val="24"/>
        </w:rPr>
        <w:t>is</w:t>
      </w:r>
      <w:r>
        <w:rPr>
          <w:szCs w:val="24"/>
        </w:rPr>
        <w:t xml:space="preserve"> the number of components that date to the early </w:t>
      </w:r>
      <w:r w:rsidR="00053C71">
        <w:rPr>
          <w:szCs w:val="24"/>
        </w:rPr>
        <w:t>or</w:t>
      </w:r>
      <w:r>
        <w:rPr>
          <w:szCs w:val="24"/>
        </w:rPr>
        <w:t xml:space="preserve"> mid-Holocene (</w:t>
      </w:r>
      <w:r w:rsidR="00053C71" w:rsidRPr="00440A81">
        <w:rPr>
          <w:szCs w:val="24"/>
        </w:rPr>
        <w:t xml:space="preserve">Figure </w:t>
      </w:r>
      <w:r w:rsidR="006B1CE1" w:rsidRPr="00440A81">
        <w:rPr>
          <w:szCs w:val="24"/>
        </w:rPr>
        <w:t>6</w:t>
      </w:r>
      <w:r>
        <w:rPr>
          <w:szCs w:val="24"/>
        </w:rPr>
        <w:t>)</w:t>
      </w:r>
      <w:r w:rsidR="00BF4A93">
        <w:rPr>
          <w:szCs w:val="24"/>
        </w:rPr>
        <w:t>, a time period for which there are relatively few known archaeological sites on the Northwest Coast (Mackie et al. 2011</w:t>
      </w:r>
      <w:r w:rsidR="00D831E5">
        <w:rPr>
          <w:szCs w:val="24"/>
        </w:rPr>
        <w:t>; Moss et al. 2007</w:t>
      </w:r>
      <w:r w:rsidR="00381017">
        <w:rPr>
          <w:szCs w:val="24"/>
        </w:rPr>
        <w:t>)</w:t>
      </w:r>
      <w:r w:rsidR="00BF4A93" w:rsidRPr="00A66575">
        <w:rPr>
          <w:szCs w:val="24"/>
        </w:rPr>
        <w:t xml:space="preserve">. </w:t>
      </w:r>
      <w:r w:rsidR="00BB2215">
        <w:rPr>
          <w:szCs w:val="24"/>
        </w:rPr>
        <w:t>Our data</w:t>
      </w:r>
      <w:r w:rsidR="00BF4A93" w:rsidRPr="00A66575">
        <w:rPr>
          <w:szCs w:val="24"/>
        </w:rPr>
        <w:t xml:space="preserve"> are also</w:t>
      </w:r>
      <w:r w:rsidR="00C03053">
        <w:rPr>
          <w:szCs w:val="24"/>
        </w:rPr>
        <w:t xml:space="preserve"> </w:t>
      </w:r>
      <w:r w:rsidR="007D1B1F">
        <w:rPr>
          <w:szCs w:val="24"/>
        </w:rPr>
        <w:t>fairly</w:t>
      </w:r>
      <w:r w:rsidR="007D1B1F" w:rsidRPr="00A66575">
        <w:rPr>
          <w:szCs w:val="24"/>
        </w:rPr>
        <w:t xml:space="preserve"> </w:t>
      </w:r>
      <w:r w:rsidR="00BF4A93" w:rsidRPr="00A66575">
        <w:rPr>
          <w:szCs w:val="24"/>
        </w:rPr>
        <w:t>sparse; there are fewer sites before than after 5</w:t>
      </w:r>
      <w:r w:rsidR="00EC7239">
        <w:rPr>
          <w:szCs w:val="24"/>
        </w:rPr>
        <w:t>0</w:t>
      </w:r>
      <w:r w:rsidR="00BF4A93" w:rsidRPr="00A66575">
        <w:rPr>
          <w:szCs w:val="24"/>
        </w:rPr>
        <w:t xml:space="preserve">00 </w:t>
      </w:r>
      <w:proofErr w:type="spellStart"/>
      <w:r w:rsidR="00BB2215">
        <w:rPr>
          <w:szCs w:val="24"/>
        </w:rPr>
        <w:t>cal</w:t>
      </w:r>
      <w:proofErr w:type="spellEnd"/>
      <w:r w:rsidR="005C4B9E">
        <w:rPr>
          <w:szCs w:val="24"/>
        </w:rPr>
        <w:t xml:space="preserve"> </w:t>
      </w:r>
      <w:proofErr w:type="spellStart"/>
      <w:r w:rsidR="005C4B9E">
        <w:rPr>
          <w:szCs w:val="24"/>
        </w:rPr>
        <w:t>yr</w:t>
      </w:r>
      <w:proofErr w:type="spellEnd"/>
      <w:r w:rsidR="00BB2215">
        <w:rPr>
          <w:szCs w:val="24"/>
        </w:rPr>
        <w:t xml:space="preserve"> </w:t>
      </w:r>
      <w:r w:rsidR="00BF4A93" w:rsidRPr="00A66575">
        <w:rPr>
          <w:szCs w:val="24"/>
        </w:rPr>
        <w:t>BP, although our sample for dating was focused on la</w:t>
      </w:r>
      <w:r w:rsidR="009907FC">
        <w:rPr>
          <w:szCs w:val="24"/>
        </w:rPr>
        <w:t>rge</w:t>
      </w:r>
      <w:r w:rsidR="00BF4A93" w:rsidRPr="00A66575">
        <w:rPr>
          <w:szCs w:val="24"/>
        </w:rPr>
        <w:t xml:space="preserve"> villages</w:t>
      </w:r>
      <w:r w:rsidR="009907FC">
        <w:rPr>
          <w:szCs w:val="24"/>
        </w:rPr>
        <w:t xml:space="preserve"> </w:t>
      </w:r>
      <w:r w:rsidR="00CD377E">
        <w:rPr>
          <w:szCs w:val="24"/>
        </w:rPr>
        <w:t xml:space="preserve">that </w:t>
      </w:r>
      <w:r w:rsidR="009907FC">
        <w:rPr>
          <w:szCs w:val="24"/>
        </w:rPr>
        <w:t>tend to be later in the sequence</w:t>
      </w:r>
      <w:r w:rsidR="00BF4A93" w:rsidRPr="00A66575">
        <w:rPr>
          <w:szCs w:val="24"/>
        </w:rPr>
        <w:t>.</w:t>
      </w:r>
      <w:r w:rsidR="00461D88">
        <w:rPr>
          <w:szCs w:val="24"/>
        </w:rPr>
        <w:t xml:space="preserve"> Six sites</w:t>
      </w:r>
      <w:r w:rsidR="00400C82">
        <w:rPr>
          <w:szCs w:val="24"/>
        </w:rPr>
        <w:t>,</w:t>
      </w:r>
      <w:r w:rsidR="00461D88">
        <w:rPr>
          <w:szCs w:val="24"/>
        </w:rPr>
        <w:t xml:space="preserve"> however</w:t>
      </w:r>
      <w:r w:rsidR="00400C82">
        <w:rPr>
          <w:szCs w:val="24"/>
        </w:rPr>
        <w:t>,</w:t>
      </w:r>
      <w:r w:rsidR="00461D88">
        <w:rPr>
          <w:szCs w:val="24"/>
        </w:rPr>
        <w:t xml:space="preserve"> produced ages older than 5</w:t>
      </w:r>
      <w:r w:rsidR="00400C82">
        <w:rPr>
          <w:szCs w:val="24"/>
        </w:rPr>
        <w:t>,</w:t>
      </w:r>
      <w:r w:rsidR="00461D88">
        <w:rPr>
          <w:szCs w:val="24"/>
        </w:rPr>
        <w:t xml:space="preserve">000 years; five of these sites have shell-bearing components from this time period. </w:t>
      </w:r>
      <w:r w:rsidR="00461D88" w:rsidRPr="00A66575">
        <w:rPr>
          <w:szCs w:val="24"/>
        </w:rPr>
        <w:t xml:space="preserve">The oldest dated </w:t>
      </w:r>
      <w:r w:rsidR="00461D88">
        <w:rPr>
          <w:szCs w:val="24"/>
        </w:rPr>
        <w:t xml:space="preserve">archaeological </w:t>
      </w:r>
      <w:r w:rsidR="00461D88" w:rsidRPr="00A66575">
        <w:rPr>
          <w:szCs w:val="24"/>
        </w:rPr>
        <w:t xml:space="preserve">site </w:t>
      </w:r>
      <w:r w:rsidR="00461D88">
        <w:rPr>
          <w:szCs w:val="24"/>
        </w:rPr>
        <w:t>on</w:t>
      </w:r>
      <w:r w:rsidR="00461D88" w:rsidRPr="00A66575">
        <w:rPr>
          <w:szCs w:val="24"/>
        </w:rPr>
        <w:t xml:space="preserve"> the Dundas Is</w:t>
      </w:r>
      <w:r w:rsidR="00461D88">
        <w:rPr>
          <w:szCs w:val="24"/>
        </w:rPr>
        <w:t>lands archipelago is Far West Point (GcTr-6</w:t>
      </w:r>
      <w:r w:rsidR="00461D88" w:rsidRPr="00A66575">
        <w:rPr>
          <w:szCs w:val="24"/>
        </w:rPr>
        <w:t xml:space="preserve">), which has </w:t>
      </w:r>
      <w:r w:rsidR="00461D88" w:rsidRPr="00A66575">
        <w:rPr>
          <w:szCs w:val="24"/>
        </w:rPr>
        <w:lastRenderedPageBreak/>
        <w:t xml:space="preserve">yielded a basal date of </w:t>
      </w:r>
      <w:r w:rsidR="00461D88" w:rsidRPr="000E4663">
        <w:rPr>
          <w:szCs w:val="24"/>
        </w:rPr>
        <w:t>11</w:t>
      </w:r>
      <w:r w:rsidR="00461D88">
        <w:rPr>
          <w:szCs w:val="24"/>
        </w:rPr>
        <w:t>,</w:t>
      </w:r>
      <w:r w:rsidR="00461D88" w:rsidRPr="000E4663">
        <w:rPr>
          <w:szCs w:val="24"/>
        </w:rPr>
        <w:t>204</w:t>
      </w:r>
      <w:r w:rsidR="00461D88">
        <w:rPr>
          <w:szCs w:val="24"/>
        </w:rPr>
        <w:t xml:space="preserve"> to </w:t>
      </w:r>
      <w:r w:rsidR="00461D88" w:rsidRPr="000E4663">
        <w:rPr>
          <w:szCs w:val="24"/>
        </w:rPr>
        <w:t>10</w:t>
      </w:r>
      <w:r w:rsidR="00461D88">
        <w:rPr>
          <w:szCs w:val="24"/>
        </w:rPr>
        <w:t>,</w:t>
      </w:r>
      <w:r w:rsidR="00461D88" w:rsidRPr="000E4663">
        <w:rPr>
          <w:szCs w:val="24"/>
        </w:rPr>
        <w:t>885</w:t>
      </w:r>
      <w:r w:rsidR="00461D88" w:rsidRPr="001B0AC4">
        <w:rPr>
          <w:szCs w:val="24"/>
        </w:rPr>
        <w:t xml:space="preserve"> </w:t>
      </w:r>
      <w:proofErr w:type="spellStart"/>
      <w:r w:rsidR="00461D88" w:rsidRPr="000E4663">
        <w:rPr>
          <w:szCs w:val="24"/>
        </w:rPr>
        <w:t>cal</w:t>
      </w:r>
      <w:proofErr w:type="spellEnd"/>
      <w:r w:rsidR="00461D88">
        <w:rPr>
          <w:szCs w:val="24"/>
        </w:rPr>
        <w:t xml:space="preserve"> </w:t>
      </w:r>
      <w:proofErr w:type="spellStart"/>
      <w:r w:rsidR="00461D88">
        <w:rPr>
          <w:szCs w:val="24"/>
        </w:rPr>
        <w:t>yr</w:t>
      </w:r>
      <w:proofErr w:type="spellEnd"/>
      <w:r w:rsidR="00461D88" w:rsidRPr="000E4663">
        <w:rPr>
          <w:szCs w:val="24"/>
        </w:rPr>
        <w:t xml:space="preserve"> BP</w:t>
      </w:r>
      <w:r w:rsidR="00461D88" w:rsidRPr="001B0AC4">
        <w:rPr>
          <w:rStyle w:val="FootnoteReference"/>
          <w:szCs w:val="24"/>
        </w:rPr>
        <w:footnoteReference w:id="7"/>
      </w:r>
      <w:r w:rsidR="00461D88" w:rsidRPr="000E4663">
        <w:rPr>
          <w:szCs w:val="24"/>
        </w:rPr>
        <w:t xml:space="preserve"> (</w:t>
      </w:r>
      <w:r w:rsidR="00440A81">
        <w:rPr>
          <w:szCs w:val="24"/>
        </w:rPr>
        <w:t xml:space="preserve">Figure 6, </w:t>
      </w:r>
      <w:r w:rsidR="00461D88">
        <w:rPr>
          <w:szCs w:val="24"/>
        </w:rPr>
        <w:t xml:space="preserve">Table </w:t>
      </w:r>
      <w:r w:rsidR="00400C82">
        <w:rPr>
          <w:szCs w:val="24"/>
        </w:rPr>
        <w:t>2</w:t>
      </w:r>
      <w:r w:rsidR="00461D88">
        <w:rPr>
          <w:szCs w:val="24"/>
        </w:rPr>
        <w:t>) (McLaren 2008; McLaren et al. 2011</w:t>
      </w:r>
      <w:r w:rsidR="00461D88" w:rsidRPr="00A66575">
        <w:rPr>
          <w:szCs w:val="24"/>
        </w:rPr>
        <w:t xml:space="preserve">). </w:t>
      </w:r>
      <w:r w:rsidR="005F2B33">
        <w:rPr>
          <w:szCs w:val="24"/>
        </w:rPr>
        <w:t>Some of the</w:t>
      </w:r>
      <w:r w:rsidR="00C03053">
        <w:rPr>
          <w:szCs w:val="24"/>
        </w:rPr>
        <w:t xml:space="preserve"> early components </w:t>
      </w:r>
      <w:r w:rsidR="005F2B33">
        <w:rPr>
          <w:szCs w:val="24"/>
        </w:rPr>
        <w:t xml:space="preserve">are </w:t>
      </w:r>
      <w:r w:rsidR="00C03053">
        <w:rPr>
          <w:szCs w:val="24"/>
        </w:rPr>
        <w:t xml:space="preserve">spatially associated with or buried by later village sites, indicating </w:t>
      </w:r>
      <w:r w:rsidR="00F20718">
        <w:rPr>
          <w:szCs w:val="24"/>
        </w:rPr>
        <w:t xml:space="preserve">continuity of use </w:t>
      </w:r>
      <w:r w:rsidR="00EC7239">
        <w:rPr>
          <w:szCs w:val="24"/>
        </w:rPr>
        <w:t xml:space="preserve">of particular locations </w:t>
      </w:r>
      <w:r w:rsidR="00C03053">
        <w:rPr>
          <w:szCs w:val="24"/>
        </w:rPr>
        <w:t>through time. GcTq-4 and GdTq-3 (</w:t>
      </w:r>
      <w:r w:rsidR="00C03053" w:rsidRPr="00440A81">
        <w:rPr>
          <w:szCs w:val="24"/>
        </w:rPr>
        <w:t xml:space="preserve">Figure </w:t>
      </w:r>
      <w:r w:rsidR="006B1CE1" w:rsidRPr="00440A81">
        <w:rPr>
          <w:szCs w:val="24"/>
        </w:rPr>
        <w:t>5c</w:t>
      </w:r>
      <w:r w:rsidR="00C03053">
        <w:rPr>
          <w:szCs w:val="24"/>
        </w:rPr>
        <w:t xml:space="preserve">) both have </w:t>
      </w:r>
      <w:r w:rsidR="005B12C7">
        <w:rPr>
          <w:szCs w:val="24"/>
        </w:rPr>
        <w:t xml:space="preserve">more recent </w:t>
      </w:r>
      <w:r w:rsidR="00C03053">
        <w:rPr>
          <w:szCs w:val="24"/>
        </w:rPr>
        <w:t>small village</w:t>
      </w:r>
      <w:r w:rsidR="00F20718">
        <w:rPr>
          <w:szCs w:val="24"/>
        </w:rPr>
        <w:t xml:space="preserve"> components</w:t>
      </w:r>
      <w:r w:rsidR="00C03053">
        <w:rPr>
          <w:szCs w:val="24"/>
        </w:rPr>
        <w:t xml:space="preserve"> near the modern shoreline with steep natural </w:t>
      </w:r>
      <w:proofErr w:type="spellStart"/>
      <w:r w:rsidR="00C03053">
        <w:rPr>
          <w:szCs w:val="24"/>
        </w:rPr>
        <w:t>paleoshoreline</w:t>
      </w:r>
      <w:proofErr w:type="spellEnd"/>
      <w:r w:rsidR="00C03053">
        <w:rPr>
          <w:szCs w:val="24"/>
        </w:rPr>
        <w:t xml:space="preserve"> ridges behind them that are topped with shell components dating</w:t>
      </w:r>
      <w:r w:rsidR="00BB2215">
        <w:rPr>
          <w:szCs w:val="24"/>
        </w:rPr>
        <w:t xml:space="preserve"> </w:t>
      </w:r>
      <w:r w:rsidR="00C03053">
        <w:rPr>
          <w:szCs w:val="24"/>
        </w:rPr>
        <w:t>to</w:t>
      </w:r>
      <w:r w:rsidR="00BB2215">
        <w:rPr>
          <w:szCs w:val="24"/>
        </w:rPr>
        <w:t xml:space="preserve"> the </w:t>
      </w:r>
      <w:r w:rsidR="003A2B36">
        <w:rPr>
          <w:szCs w:val="24"/>
        </w:rPr>
        <w:t>7.5 metre ASL still-</w:t>
      </w:r>
      <w:r w:rsidR="003A2B36" w:rsidRPr="00A66575">
        <w:rPr>
          <w:szCs w:val="24"/>
        </w:rPr>
        <w:t>stand</w:t>
      </w:r>
      <w:r w:rsidR="003A2B36">
        <w:rPr>
          <w:szCs w:val="24"/>
        </w:rPr>
        <w:t xml:space="preserve"> at </w:t>
      </w:r>
      <w:r w:rsidR="00BB2215">
        <w:rPr>
          <w:szCs w:val="24"/>
        </w:rPr>
        <w:t>8850</w:t>
      </w:r>
      <w:r w:rsidR="003A2B36">
        <w:rPr>
          <w:szCs w:val="24"/>
        </w:rPr>
        <w:t xml:space="preserve"> to </w:t>
      </w:r>
      <w:r w:rsidR="00BB2215">
        <w:rPr>
          <w:szCs w:val="24"/>
        </w:rPr>
        <w:t xml:space="preserve">6100 </w:t>
      </w:r>
      <w:proofErr w:type="spellStart"/>
      <w:r w:rsidR="00BB2215">
        <w:rPr>
          <w:szCs w:val="24"/>
        </w:rPr>
        <w:t>cal</w:t>
      </w:r>
      <w:proofErr w:type="spellEnd"/>
      <w:r w:rsidR="005C4B9E">
        <w:rPr>
          <w:szCs w:val="24"/>
        </w:rPr>
        <w:t xml:space="preserve"> </w:t>
      </w:r>
      <w:proofErr w:type="spellStart"/>
      <w:r w:rsidR="005C4B9E">
        <w:rPr>
          <w:szCs w:val="24"/>
        </w:rPr>
        <w:t>yr</w:t>
      </w:r>
      <w:proofErr w:type="spellEnd"/>
      <w:r w:rsidR="00BB2215">
        <w:rPr>
          <w:szCs w:val="24"/>
        </w:rPr>
        <w:t xml:space="preserve"> BP</w:t>
      </w:r>
      <w:r w:rsidR="00C03053">
        <w:rPr>
          <w:szCs w:val="24"/>
        </w:rPr>
        <w:t>.</w:t>
      </w:r>
      <w:r w:rsidR="00BF4A93" w:rsidRPr="00A66575">
        <w:rPr>
          <w:szCs w:val="24"/>
        </w:rPr>
        <w:t xml:space="preserve"> </w:t>
      </w:r>
      <w:r w:rsidR="00C03053">
        <w:rPr>
          <w:szCs w:val="24"/>
        </w:rPr>
        <w:t>T</w:t>
      </w:r>
      <w:r w:rsidR="00BF4A93" w:rsidRPr="00A66575">
        <w:rPr>
          <w:szCs w:val="24"/>
        </w:rPr>
        <w:t>he early date at GcTr-8 (</w:t>
      </w:r>
      <w:r w:rsidR="00B47ED8" w:rsidRPr="001B0AC4">
        <w:rPr>
          <w:rFonts w:eastAsia="Times New Roman"/>
          <w:szCs w:val="24"/>
        </w:rPr>
        <w:t>7415</w:t>
      </w:r>
      <w:r w:rsidR="00400C82">
        <w:rPr>
          <w:rFonts w:eastAsia="Times New Roman"/>
          <w:szCs w:val="24"/>
        </w:rPr>
        <w:t xml:space="preserve"> to </w:t>
      </w:r>
      <w:r w:rsidR="00B47ED8" w:rsidRPr="001B0AC4">
        <w:rPr>
          <w:rFonts w:eastAsia="Times New Roman"/>
          <w:szCs w:val="24"/>
        </w:rPr>
        <w:t>7020</w:t>
      </w:r>
      <w:r w:rsidR="00BF4A93" w:rsidRPr="00A66575">
        <w:rPr>
          <w:szCs w:val="24"/>
        </w:rPr>
        <w:t xml:space="preserve"> </w:t>
      </w:r>
      <w:proofErr w:type="spellStart"/>
      <w:r w:rsidR="00BF4A93" w:rsidRPr="00A66575">
        <w:rPr>
          <w:szCs w:val="24"/>
        </w:rPr>
        <w:t>cal</w:t>
      </w:r>
      <w:proofErr w:type="spellEnd"/>
      <w:r w:rsidR="00256FE2">
        <w:rPr>
          <w:szCs w:val="24"/>
        </w:rPr>
        <w:t xml:space="preserve"> </w:t>
      </w:r>
      <w:proofErr w:type="spellStart"/>
      <w:r w:rsidR="00256FE2">
        <w:rPr>
          <w:szCs w:val="24"/>
        </w:rPr>
        <w:t>yr</w:t>
      </w:r>
      <w:proofErr w:type="spellEnd"/>
      <w:r w:rsidR="00BF4A93" w:rsidRPr="00A66575">
        <w:rPr>
          <w:szCs w:val="24"/>
        </w:rPr>
        <w:t xml:space="preserve"> BP) comes from </w:t>
      </w:r>
      <w:r w:rsidR="00256FE2">
        <w:rPr>
          <w:szCs w:val="24"/>
        </w:rPr>
        <w:t>an</w:t>
      </w:r>
      <w:r w:rsidR="00256FE2" w:rsidRPr="00A66575">
        <w:rPr>
          <w:szCs w:val="24"/>
        </w:rPr>
        <w:t xml:space="preserve"> </w:t>
      </w:r>
      <w:r w:rsidR="005E4814">
        <w:rPr>
          <w:szCs w:val="24"/>
        </w:rPr>
        <w:t>elevated and landward</w:t>
      </w:r>
      <w:r w:rsidR="005E4814" w:rsidRPr="00A66575">
        <w:rPr>
          <w:szCs w:val="24"/>
        </w:rPr>
        <w:t xml:space="preserve"> </w:t>
      </w:r>
      <w:r w:rsidR="00BF4A93" w:rsidRPr="00A66575">
        <w:rPr>
          <w:szCs w:val="24"/>
        </w:rPr>
        <w:t>p</w:t>
      </w:r>
      <w:r w:rsidR="00BB2215">
        <w:rPr>
          <w:szCs w:val="24"/>
        </w:rPr>
        <w:t>ortion of this site (</w:t>
      </w:r>
      <w:r w:rsidR="00BB2215" w:rsidRPr="00440A81">
        <w:rPr>
          <w:szCs w:val="24"/>
        </w:rPr>
        <w:t xml:space="preserve">Figure </w:t>
      </w:r>
      <w:r w:rsidR="00E334C4">
        <w:rPr>
          <w:szCs w:val="24"/>
        </w:rPr>
        <w:t>5</w:t>
      </w:r>
      <w:r w:rsidR="006B1CE1">
        <w:rPr>
          <w:szCs w:val="24"/>
        </w:rPr>
        <w:t>b</w:t>
      </w:r>
      <w:r w:rsidR="00256FE2">
        <w:rPr>
          <w:szCs w:val="24"/>
        </w:rPr>
        <w:t>,</w:t>
      </w:r>
      <w:r w:rsidR="00BF4A93" w:rsidRPr="00A66575">
        <w:rPr>
          <w:szCs w:val="24"/>
        </w:rPr>
        <w:t xml:space="preserve"> </w:t>
      </w:r>
      <w:r w:rsidR="00BF4A93" w:rsidRPr="00440A81">
        <w:rPr>
          <w:szCs w:val="24"/>
        </w:rPr>
        <w:t>Figu</w:t>
      </w:r>
      <w:r w:rsidR="00BB2215" w:rsidRPr="00440A81">
        <w:rPr>
          <w:szCs w:val="24"/>
        </w:rPr>
        <w:t xml:space="preserve">re </w:t>
      </w:r>
      <w:r w:rsidR="00440A81">
        <w:rPr>
          <w:szCs w:val="24"/>
        </w:rPr>
        <w:t>6</w:t>
      </w:r>
      <w:r w:rsidR="007D1B1F">
        <w:rPr>
          <w:szCs w:val="24"/>
        </w:rPr>
        <w:t>)</w:t>
      </w:r>
      <w:r w:rsidR="00BF4A93" w:rsidRPr="00A66575">
        <w:rPr>
          <w:szCs w:val="24"/>
        </w:rPr>
        <w:t xml:space="preserve">, where a small shell component on a raised relict beach terrace was subsequently buried by a large late Holocene village occupation (Martindale et al. 2009:1572). </w:t>
      </w:r>
      <w:r w:rsidR="005E4814">
        <w:rPr>
          <w:szCs w:val="24"/>
        </w:rPr>
        <w:t>Likewise, t</w:t>
      </w:r>
      <w:r w:rsidR="005E4814" w:rsidRPr="00A66575">
        <w:rPr>
          <w:szCs w:val="24"/>
        </w:rPr>
        <w:t xml:space="preserve">he </w:t>
      </w:r>
      <w:r w:rsidR="00F536DA" w:rsidRPr="00A66575">
        <w:rPr>
          <w:szCs w:val="24"/>
        </w:rPr>
        <w:t xml:space="preserve">early basal </w:t>
      </w:r>
      <w:r w:rsidR="005E4814">
        <w:rPr>
          <w:szCs w:val="24"/>
        </w:rPr>
        <w:t>age</w:t>
      </w:r>
      <w:r w:rsidR="005E4814" w:rsidRPr="00A66575">
        <w:rPr>
          <w:szCs w:val="24"/>
        </w:rPr>
        <w:t xml:space="preserve"> </w:t>
      </w:r>
      <w:r w:rsidR="00F536DA" w:rsidRPr="00A66575">
        <w:rPr>
          <w:szCs w:val="24"/>
        </w:rPr>
        <w:t>from beneath the village at GdTq-1 (</w:t>
      </w:r>
      <w:r w:rsidR="00B47ED8" w:rsidRPr="008E0DC9">
        <w:rPr>
          <w:rFonts w:eastAsia="Times New Roman"/>
          <w:szCs w:val="24"/>
        </w:rPr>
        <w:t>6555</w:t>
      </w:r>
      <w:r w:rsidR="003A2B36">
        <w:rPr>
          <w:rFonts w:eastAsia="Times New Roman"/>
          <w:szCs w:val="24"/>
        </w:rPr>
        <w:t xml:space="preserve"> to </w:t>
      </w:r>
      <w:r w:rsidR="00B47ED8" w:rsidRPr="008E0DC9">
        <w:rPr>
          <w:rFonts w:eastAsia="Times New Roman"/>
          <w:szCs w:val="24"/>
        </w:rPr>
        <w:t>6102</w:t>
      </w:r>
      <w:r w:rsidR="00F536DA" w:rsidRPr="00A66575">
        <w:rPr>
          <w:szCs w:val="24"/>
        </w:rPr>
        <w:t xml:space="preserve"> </w:t>
      </w:r>
      <w:proofErr w:type="spellStart"/>
      <w:r w:rsidR="00F536DA" w:rsidRPr="00A66575">
        <w:rPr>
          <w:szCs w:val="24"/>
        </w:rPr>
        <w:t>cal</w:t>
      </w:r>
      <w:proofErr w:type="spellEnd"/>
      <w:r w:rsidR="005C4B9E">
        <w:rPr>
          <w:szCs w:val="24"/>
        </w:rPr>
        <w:t xml:space="preserve"> </w:t>
      </w:r>
      <w:proofErr w:type="spellStart"/>
      <w:r w:rsidR="005C4B9E">
        <w:rPr>
          <w:szCs w:val="24"/>
        </w:rPr>
        <w:t>yr</w:t>
      </w:r>
      <w:proofErr w:type="spellEnd"/>
      <w:r w:rsidR="00F536DA" w:rsidRPr="00A66575">
        <w:rPr>
          <w:szCs w:val="24"/>
        </w:rPr>
        <w:t xml:space="preserve"> BP</w:t>
      </w:r>
      <w:r w:rsidR="00F536DA">
        <w:rPr>
          <w:szCs w:val="24"/>
        </w:rPr>
        <w:t xml:space="preserve">) comes from </w:t>
      </w:r>
      <w:r w:rsidR="003A2B36">
        <w:rPr>
          <w:szCs w:val="24"/>
        </w:rPr>
        <w:t>twelve metres</w:t>
      </w:r>
      <w:r w:rsidR="00F536DA">
        <w:rPr>
          <w:szCs w:val="24"/>
        </w:rPr>
        <w:t xml:space="preserve"> A</w:t>
      </w:r>
      <w:r w:rsidR="00F536DA" w:rsidRPr="00A66575">
        <w:rPr>
          <w:szCs w:val="24"/>
        </w:rPr>
        <w:t>SL. Given that the terminal dates from the village above are much more recent, we suggest that this may be a case similar to that at GcTr-8</w:t>
      </w:r>
      <w:r w:rsidR="00400C82">
        <w:rPr>
          <w:szCs w:val="24"/>
        </w:rPr>
        <w:t>,</w:t>
      </w:r>
      <w:r w:rsidR="00F536DA" w:rsidRPr="00A66575">
        <w:rPr>
          <w:szCs w:val="24"/>
        </w:rPr>
        <w:t xml:space="preserve"> where an old small component is buried beneath a more recent </w:t>
      </w:r>
      <w:r w:rsidR="00F536DA" w:rsidRPr="008E0DC9">
        <w:rPr>
          <w:szCs w:val="24"/>
        </w:rPr>
        <w:t>village.</w:t>
      </w:r>
      <w:r w:rsidR="00F536DA" w:rsidRPr="008E0DC9">
        <w:rPr>
          <w:rStyle w:val="FootnoteReference"/>
          <w:szCs w:val="24"/>
        </w:rPr>
        <w:footnoteReference w:id="8"/>
      </w:r>
    </w:p>
    <w:p w14:paraId="45786B9F" w14:textId="5288CA2F" w:rsidR="00C93707" w:rsidRPr="008E0DC9" w:rsidRDefault="00C93707" w:rsidP="005E1E4C">
      <w:pPr>
        <w:spacing w:after="0" w:line="480" w:lineRule="auto"/>
        <w:rPr>
          <w:rFonts w:ascii="Calibri" w:eastAsia="Times New Roman" w:hAnsi="Calibri"/>
          <w:sz w:val="22"/>
          <w:szCs w:val="22"/>
        </w:rPr>
      </w:pPr>
      <w:r>
        <w:rPr>
          <w:szCs w:val="24"/>
        </w:rPr>
        <w:tab/>
      </w:r>
      <w:r w:rsidRPr="00A66575">
        <w:rPr>
          <w:szCs w:val="24"/>
        </w:rPr>
        <w:t xml:space="preserve">This pattern of later components </w:t>
      </w:r>
      <w:r w:rsidR="00462415">
        <w:rPr>
          <w:szCs w:val="24"/>
        </w:rPr>
        <w:t>overlying</w:t>
      </w:r>
      <w:r w:rsidR="00462415" w:rsidRPr="00A66575">
        <w:rPr>
          <w:szCs w:val="24"/>
        </w:rPr>
        <w:t xml:space="preserve"> </w:t>
      </w:r>
      <w:r w:rsidRPr="00A66575">
        <w:rPr>
          <w:szCs w:val="24"/>
        </w:rPr>
        <w:t xml:space="preserve">earlier occupations makes it difficult to identify the earliest village </w:t>
      </w:r>
      <w:r>
        <w:rPr>
          <w:szCs w:val="24"/>
        </w:rPr>
        <w:t>occupation</w:t>
      </w:r>
      <w:r w:rsidRPr="00A66575">
        <w:rPr>
          <w:szCs w:val="24"/>
        </w:rPr>
        <w:t xml:space="preserve"> at most sites</w:t>
      </w:r>
      <w:r w:rsidR="00082B66">
        <w:rPr>
          <w:szCs w:val="24"/>
        </w:rPr>
        <w:t xml:space="preserve">, </w:t>
      </w:r>
      <w:r w:rsidR="0082200D">
        <w:rPr>
          <w:szCs w:val="24"/>
        </w:rPr>
        <w:t>al</w:t>
      </w:r>
      <w:r w:rsidR="00082B66">
        <w:rPr>
          <w:szCs w:val="24"/>
        </w:rPr>
        <w:t xml:space="preserve">though </w:t>
      </w:r>
      <w:r w:rsidR="005E4814">
        <w:rPr>
          <w:szCs w:val="24"/>
        </w:rPr>
        <w:t>our analysis</w:t>
      </w:r>
      <w:r w:rsidR="0082200D">
        <w:rPr>
          <w:szCs w:val="24"/>
        </w:rPr>
        <w:t xml:space="preserve"> indicates that</w:t>
      </w:r>
      <w:r w:rsidR="00082B66">
        <w:rPr>
          <w:szCs w:val="24"/>
        </w:rPr>
        <w:t xml:space="preserve"> small </w:t>
      </w:r>
      <w:r w:rsidR="00082B66">
        <w:rPr>
          <w:szCs w:val="24"/>
        </w:rPr>
        <w:lastRenderedPageBreak/>
        <w:t>villages first appeared during or prior to the mid-Holocene</w:t>
      </w:r>
      <w:r w:rsidRPr="00A66575">
        <w:rPr>
          <w:szCs w:val="24"/>
          <w:lang w:val="en-GB"/>
        </w:rPr>
        <w:t xml:space="preserve">. </w:t>
      </w:r>
      <w:r w:rsidRPr="00A66575">
        <w:rPr>
          <w:szCs w:val="24"/>
        </w:rPr>
        <w:t>Sites GcTq-4 and GdTq-3 (</w:t>
      </w:r>
      <w:r w:rsidR="00082B66" w:rsidRPr="00440A81">
        <w:rPr>
          <w:szCs w:val="24"/>
        </w:rPr>
        <w:t>Figure</w:t>
      </w:r>
      <w:r w:rsidR="00C03053" w:rsidRPr="00440A81">
        <w:rPr>
          <w:szCs w:val="24"/>
        </w:rPr>
        <w:t xml:space="preserve"> </w:t>
      </w:r>
      <w:r w:rsidR="005E4814" w:rsidRPr="00440A81">
        <w:rPr>
          <w:szCs w:val="24"/>
        </w:rPr>
        <w:t>5</w:t>
      </w:r>
      <w:r w:rsidR="00345DE3" w:rsidRPr="00440A81">
        <w:rPr>
          <w:szCs w:val="24"/>
        </w:rPr>
        <w:t>c</w:t>
      </w:r>
      <w:r w:rsidR="00082B66">
        <w:rPr>
          <w:szCs w:val="24"/>
        </w:rPr>
        <w:t>)</w:t>
      </w:r>
      <w:r w:rsidRPr="00A66575">
        <w:rPr>
          <w:szCs w:val="24"/>
        </w:rPr>
        <w:t xml:space="preserve"> both have shell-bearing components and potential house depressions on lower terrace</w:t>
      </w:r>
      <w:r w:rsidR="00256FE2">
        <w:rPr>
          <w:szCs w:val="24"/>
        </w:rPr>
        <w:t>s</w:t>
      </w:r>
      <w:r w:rsidRPr="00A66575">
        <w:rPr>
          <w:szCs w:val="24"/>
        </w:rPr>
        <w:t xml:space="preserve"> parallel to the present shoreline as well as shell-bearing components with a few structural surface depressions on raise</w:t>
      </w:r>
      <w:r>
        <w:rPr>
          <w:szCs w:val="24"/>
        </w:rPr>
        <w:t xml:space="preserve">d inland terraces </w:t>
      </w:r>
      <w:r w:rsidR="005B12C7">
        <w:rPr>
          <w:szCs w:val="24"/>
        </w:rPr>
        <w:t>12.5</w:t>
      </w:r>
      <w:r>
        <w:rPr>
          <w:szCs w:val="24"/>
        </w:rPr>
        <w:t xml:space="preserve"> m</w:t>
      </w:r>
      <w:r w:rsidR="0082200D">
        <w:rPr>
          <w:szCs w:val="24"/>
        </w:rPr>
        <w:t>etres</w:t>
      </w:r>
      <w:r>
        <w:rPr>
          <w:szCs w:val="24"/>
        </w:rPr>
        <w:t xml:space="preserve"> A</w:t>
      </w:r>
      <w:r w:rsidRPr="00A66575">
        <w:rPr>
          <w:szCs w:val="24"/>
        </w:rPr>
        <w:t>SL</w:t>
      </w:r>
      <w:r w:rsidR="005B12C7">
        <w:rPr>
          <w:szCs w:val="24"/>
        </w:rPr>
        <w:t xml:space="preserve"> that were each occupied by ca. 7000 </w:t>
      </w:r>
      <w:proofErr w:type="spellStart"/>
      <w:r w:rsidR="005B12C7">
        <w:rPr>
          <w:szCs w:val="24"/>
        </w:rPr>
        <w:t>cal</w:t>
      </w:r>
      <w:proofErr w:type="spellEnd"/>
      <w:r w:rsidR="005B12C7">
        <w:rPr>
          <w:szCs w:val="24"/>
        </w:rPr>
        <w:t xml:space="preserve"> </w:t>
      </w:r>
      <w:proofErr w:type="spellStart"/>
      <w:r w:rsidR="005B12C7">
        <w:rPr>
          <w:szCs w:val="24"/>
        </w:rPr>
        <w:t>yr</w:t>
      </w:r>
      <w:proofErr w:type="spellEnd"/>
      <w:r w:rsidR="005B12C7">
        <w:rPr>
          <w:szCs w:val="24"/>
        </w:rPr>
        <w:t xml:space="preserve"> BP. </w:t>
      </w:r>
      <w:r w:rsidRPr="00A66575">
        <w:rPr>
          <w:szCs w:val="24"/>
        </w:rPr>
        <w:t xml:space="preserve">The lower terraces at these two </w:t>
      </w:r>
      <w:r w:rsidR="009E1CD9">
        <w:rPr>
          <w:szCs w:val="24"/>
        </w:rPr>
        <w:t>sites would have been in the intertidal zone</w:t>
      </w:r>
      <w:r w:rsidRPr="00A66575">
        <w:rPr>
          <w:szCs w:val="24"/>
        </w:rPr>
        <w:t xml:space="preserve"> prior to the </w:t>
      </w:r>
      <w:r>
        <w:rPr>
          <w:szCs w:val="24"/>
        </w:rPr>
        <w:t xml:space="preserve">6100 </w:t>
      </w:r>
      <w:proofErr w:type="spellStart"/>
      <w:r>
        <w:rPr>
          <w:szCs w:val="24"/>
        </w:rPr>
        <w:t>cal</w:t>
      </w:r>
      <w:proofErr w:type="spellEnd"/>
      <w:r w:rsidR="00205E45">
        <w:rPr>
          <w:szCs w:val="24"/>
        </w:rPr>
        <w:t xml:space="preserve"> </w:t>
      </w:r>
      <w:proofErr w:type="spellStart"/>
      <w:r w:rsidR="00205E45">
        <w:rPr>
          <w:szCs w:val="24"/>
        </w:rPr>
        <w:t>yr</w:t>
      </w:r>
      <w:proofErr w:type="spellEnd"/>
      <w:r w:rsidRPr="00A66575">
        <w:rPr>
          <w:szCs w:val="24"/>
        </w:rPr>
        <w:t xml:space="preserve"> BP</w:t>
      </w:r>
      <w:r w:rsidR="00336922">
        <w:rPr>
          <w:szCs w:val="24"/>
        </w:rPr>
        <w:t xml:space="preserve"> sea </w:t>
      </w:r>
      <w:r w:rsidRPr="00A66575">
        <w:rPr>
          <w:szCs w:val="24"/>
        </w:rPr>
        <w:t xml:space="preserve">level regression, indicating that the </w:t>
      </w:r>
      <w:r w:rsidR="00F536DA">
        <w:rPr>
          <w:szCs w:val="24"/>
        </w:rPr>
        <w:t>lower shell components and house depressions</w:t>
      </w:r>
      <w:r w:rsidRPr="00A66575">
        <w:rPr>
          <w:szCs w:val="24"/>
        </w:rPr>
        <w:t xml:space="preserve"> represent subsequent re-occupations in more recent times. Both upper components are small (around 700</w:t>
      </w:r>
      <w:r w:rsidR="0082200D">
        <w:rPr>
          <w:szCs w:val="24"/>
        </w:rPr>
        <w:t xml:space="preserve"> to </w:t>
      </w:r>
      <w:r w:rsidRPr="00A66575">
        <w:rPr>
          <w:szCs w:val="24"/>
        </w:rPr>
        <w:t xml:space="preserve">800 </w:t>
      </w:r>
      <w:r w:rsidR="0082200D">
        <w:rPr>
          <w:szCs w:val="24"/>
        </w:rPr>
        <w:t>square metres</w:t>
      </w:r>
      <w:r w:rsidRPr="00A66575">
        <w:rPr>
          <w:szCs w:val="24"/>
        </w:rPr>
        <w:t xml:space="preserve">), fitting within the smallest size cluster of shell-bearing sites. While the structures on the upper ridge at GcTq-4 are more </w:t>
      </w:r>
      <w:r w:rsidR="002B030D">
        <w:rPr>
          <w:szCs w:val="24"/>
        </w:rPr>
        <w:t>recent (</w:t>
      </w:r>
      <w:proofErr w:type="spellStart"/>
      <w:r w:rsidR="002B030D">
        <w:rPr>
          <w:szCs w:val="24"/>
        </w:rPr>
        <w:t>Ruggles</w:t>
      </w:r>
      <w:proofErr w:type="spellEnd"/>
      <w:r w:rsidR="002B030D">
        <w:rPr>
          <w:szCs w:val="24"/>
        </w:rPr>
        <w:t xml:space="preserve"> 2007</w:t>
      </w:r>
      <w:r w:rsidRPr="00A66575">
        <w:rPr>
          <w:szCs w:val="24"/>
        </w:rPr>
        <w:t xml:space="preserve">), </w:t>
      </w:r>
      <w:r w:rsidR="003101F8">
        <w:rPr>
          <w:szCs w:val="24"/>
        </w:rPr>
        <w:t xml:space="preserve">two charcoal </w:t>
      </w:r>
      <w:r w:rsidR="00281ABF">
        <w:rPr>
          <w:szCs w:val="24"/>
        </w:rPr>
        <w:t xml:space="preserve">samples </w:t>
      </w:r>
      <w:r w:rsidR="002B030D">
        <w:rPr>
          <w:szCs w:val="24"/>
        </w:rPr>
        <w:t>taken from a hearth feature excavated in one of the structural depressions</w:t>
      </w:r>
      <w:r w:rsidR="00281ABF">
        <w:rPr>
          <w:szCs w:val="24"/>
        </w:rPr>
        <w:t xml:space="preserve"> on the upper terrace at GdTq-3</w:t>
      </w:r>
      <w:r w:rsidR="003101F8">
        <w:rPr>
          <w:szCs w:val="24"/>
        </w:rPr>
        <w:t xml:space="preserve"> that date 6845</w:t>
      </w:r>
      <w:r w:rsidR="00196D22">
        <w:rPr>
          <w:szCs w:val="24"/>
        </w:rPr>
        <w:t xml:space="preserve"> to </w:t>
      </w:r>
      <w:r w:rsidR="003101F8">
        <w:rPr>
          <w:szCs w:val="24"/>
        </w:rPr>
        <w:t xml:space="preserve">6670 </w:t>
      </w:r>
      <w:proofErr w:type="spellStart"/>
      <w:r w:rsidR="003101F8">
        <w:rPr>
          <w:szCs w:val="24"/>
        </w:rPr>
        <w:t>cal</w:t>
      </w:r>
      <w:proofErr w:type="spellEnd"/>
      <w:r w:rsidR="00C04537">
        <w:rPr>
          <w:szCs w:val="24"/>
        </w:rPr>
        <w:t xml:space="preserve"> </w:t>
      </w:r>
      <w:proofErr w:type="spellStart"/>
      <w:r w:rsidR="00C04537">
        <w:rPr>
          <w:szCs w:val="24"/>
        </w:rPr>
        <w:t>yr</w:t>
      </w:r>
      <w:proofErr w:type="spellEnd"/>
      <w:r w:rsidR="003101F8">
        <w:rPr>
          <w:szCs w:val="24"/>
        </w:rPr>
        <w:t xml:space="preserve"> BP and 6804</w:t>
      </w:r>
      <w:r w:rsidR="00196D22">
        <w:rPr>
          <w:szCs w:val="24"/>
        </w:rPr>
        <w:t xml:space="preserve"> to </w:t>
      </w:r>
      <w:r w:rsidR="003101F8">
        <w:rPr>
          <w:szCs w:val="24"/>
        </w:rPr>
        <w:t xml:space="preserve">6432 </w:t>
      </w:r>
      <w:proofErr w:type="spellStart"/>
      <w:r w:rsidR="003101F8">
        <w:rPr>
          <w:szCs w:val="24"/>
        </w:rPr>
        <w:t>cal</w:t>
      </w:r>
      <w:proofErr w:type="spellEnd"/>
      <w:r w:rsidR="00C04537">
        <w:rPr>
          <w:szCs w:val="24"/>
        </w:rPr>
        <w:t xml:space="preserve"> </w:t>
      </w:r>
      <w:proofErr w:type="spellStart"/>
      <w:r w:rsidR="00C04537">
        <w:rPr>
          <w:szCs w:val="24"/>
        </w:rPr>
        <w:t>yr</w:t>
      </w:r>
      <w:proofErr w:type="spellEnd"/>
      <w:r w:rsidR="003101F8">
        <w:rPr>
          <w:szCs w:val="24"/>
        </w:rPr>
        <w:t xml:space="preserve"> BP</w:t>
      </w:r>
      <w:r w:rsidRPr="00A66575">
        <w:rPr>
          <w:szCs w:val="24"/>
        </w:rPr>
        <w:t xml:space="preserve"> </w:t>
      </w:r>
      <w:r w:rsidR="00281ABF">
        <w:rPr>
          <w:szCs w:val="24"/>
        </w:rPr>
        <w:t>suggest</w:t>
      </w:r>
      <w:r w:rsidR="00281ABF" w:rsidRPr="00A66575">
        <w:rPr>
          <w:szCs w:val="24"/>
        </w:rPr>
        <w:t xml:space="preserve"> </w:t>
      </w:r>
      <w:r w:rsidR="002B030D">
        <w:rPr>
          <w:szCs w:val="24"/>
        </w:rPr>
        <w:t xml:space="preserve">that this </w:t>
      </w:r>
      <w:r w:rsidR="00281ABF">
        <w:rPr>
          <w:szCs w:val="24"/>
        </w:rPr>
        <w:t xml:space="preserve">may have been </w:t>
      </w:r>
      <w:r w:rsidR="002B030D">
        <w:rPr>
          <w:szCs w:val="24"/>
        </w:rPr>
        <w:t>a small village of several houses</w:t>
      </w:r>
      <w:r w:rsidRPr="00A66575">
        <w:rPr>
          <w:szCs w:val="24"/>
        </w:rPr>
        <w:t xml:space="preserve"> </w:t>
      </w:r>
      <w:r w:rsidR="00281ABF">
        <w:rPr>
          <w:szCs w:val="24"/>
        </w:rPr>
        <w:t>by the middle of the seventh millennium</w:t>
      </w:r>
      <w:r w:rsidRPr="00A66575">
        <w:rPr>
          <w:szCs w:val="24"/>
        </w:rPr>
        <w:t xml:space="preserve"> BP.</w:t>
      </w:r>
      <w:r w:rsidR="00F20718">
        <w:rPr>
          <w:szCs w:val="24"/>
        </w:rPr>
        <w:t xml:space="preserve"> Excavation results</w:t>
      </w:r>
      <w:r w:rsidR="00C8393C">
        <w:rPr>
          <w:szCs w:val="24"/>
        </w:rPr>
        <w:t xml:space="preserve"> </w:t>
      </w:r>
      <w:r w:rsidR="00F20718">
        <w:rPr>
          <w:szCs w:val="24"/>
        </w:rPr>
        <w:t>indicate that these features</w:t>
      </w:r>
      <w:r w:rsidRPr="00A66575">
        <w:rPr>
          <w:szCs w:val="24"/>
        </w:rPr>
        <w:t xml:space="preserve"> </w:t>
      </w:r>
      <w:r w:rsidR="00F20718">
        <w:rPr>
          <w:szCs w:val="24"/>
        </w:rPr>
        <w:t>are houses (Martindale et al</w:t>
      </w:r>
      <w:r w:rsidR="008E0DC9">
        <w:rPr>
          <w:szCs w:val="24"/>
        </w:rPr>
        <w:t>.</w:t>
      </w:r>
      <w:r w:rsidR="00F20718">
        <w:rPr>
          <w:szCs w:val="24"/>
        </w:rPr>
        <w:t xml:space="preserve"> </w:t>
      </w:r>
      <w:r w:rsidR="00C8393C">
        <w:rPr>
          <w:szCs w:val="24"/>
        </w:rPr>
        <w:t>2010</w:t>
      </w:r>
      <w:r w:rsidR="00F20718">
        <w:rPr>
          <w:szCs w:val="24"/>
        </w:rPr>
        <w:t>)</w:t>
      </w:r>
      <w:r w:rsidR="008E0DC9">
        <w:rPr>
          <w:szCs w:val="24"/>
        </w:rPr>
        <w:t>.</w:t>
      </w:r>
    </w:p>
    <w:p w14:paraId="37C585C8" w14:textId="2CECEA7E" w:rsidR="00B90AD7" w:rsidRDefault="00AC450E" w:rsidP="005E1E4C">
      <w:pPr>
        <w:spacing w:after="0" w:line="480" w:lineRule="auto"/>
        <w:rPr>
          <w:szCs w:val="24"/>
        </w:rPr>
      </w:pPr>
      <w:r>
        <w:rPr>
          <w:szCs w:val="24"/>
        </w:rPr>
        <w:tab/>
        <w:t xml:space="preserve">None of the sites </w:t>
      </w:r>
      <w:r w:rsidR="00491B9F">
        <w:rPr>
          <w:szCs w:val="24"/>
        </w:rPr>
        <w:t>older</w:t>
      </w:r>
      <w:r>
        <w:rPr>
          <w:szCs w:val="24"/>
        </w:rPr>
        <w:t xml:space="preserve"> than 5000 </w:t>
      </w:r>
      <w:proofErr w:type="spellStart"/>
      <w:r>
        <w:rPr>
          <w:szCs w:val="24"/>
        </w:rPr>
        <w:t>cal</w:t>
      </w:r>
      <w:proofErr w:type="spellEnd"/>
      <w:r w:rsidR="00C04537">
        <w:rPr>
          <w:szCs w:val="24"/>
        </w:rPr>
        <w:t xml:space="preserve"> </w:t>
      </w:r>
      <w:proofErr w:type="spellStart"/>
      <w:r w:rsidR="00C04537">
        <w:rPr>
          <w:szCs w:val="24"/>
        </w:rPr>
        <w:t>yr</w:t>
      </w:r>
      <w:proofErr w:type="spellEnd"/>
      <w:r>
        <w:rPr>
          <w:szCs w:val="24"/>
        </w:rPr>
        <w:t xml:space="preserve"> BP are large, nor </w:t>
      </w:r>
      <w:r w:rsidR="00DA7241">
        <w:rPr>
          <w:szCs w:val="24"/>
        </w:rPr>
        <w:t xml:space="preserve">are they </w:t>
      </w:r>
      <w:r>
        <w:rPr>
          <w:szCs w:val="24"/>
        </w:rPr>
        <w:t xml:space="preserve">as </w:t>
      </w:r>
      <w:r w:rsidR="00491B9F">
        <w:rPr>
          <w:szCs w:val="24"/>
        </w:rPr>
        <w:t xml:space="preserve">numerous </w:t>
      </w:r>
      <w:r>
        <w:rPr>
          <w:szCs w:val="24"/>
        </w:rPr>
        <w:t>as the more recent sites situated on the modern shoreline</w:t>
      </w:r>
      <w:r w:rsidR="00731553">
        <w:rPr>
          <w:szCs w:val="24"/>
        </w:rPr>
        <w:t xml:space="preserve">, </w:t>
      </w:r>
      <w:r w:rsidR="00491B9F">
        <w:rPr>
          <w:szCs w:val="24"/>
        </w:rPr>
        <w:t>al</w:t>
      </w:r>
      <w:r w:rsidR="00731553">
        <w:rPr>
          <w:szCs w:val="24"/>
        </w:rPr>
        <w:t xml:space="preserve">though </w:t>
      </w:r>
      <w:r w:rsidR="00040E97">
        <w:rPr>
          <w:szCs w:val="24"/>
        </w:rPr>
        <w:t xml:space="preserve">this </w:t>
      </w:r>
      <w:r w:rsidR="004E2A06">
        <w:rPr>
          <w:szCs w:val="24"/>
        </w:rPr>
        <w:t xml:space="preserve">in part </w:t>
      </w:r>
      <w:r w:rsidR="00040E97">
        <w:rPr>
          <w:szCs w:val="24"/>
        </w:rPr>
        <w:t>reflect</w:t>
      </w:r>
      <w:r w:rsidR="0044660D">
        <w:rPr>
          <w:szCs w:val="24"/>
        </w:rPr>
        <w:t>s</w:t>
      </w:r>
      <w:r w:rsidR="00731553">
        <w:rPr>
          <w:szCs w:val="24"/>
        </w:rPr>
        <w:t xml:space="preserve"> preservation </w:t>
      </w:r>
      <w:r w:rsidR="00141B2C">
        <w:rPr>
          <w:szCs w:val="24"/>
        </w:rPr>
        <w:t>issues and limitations in survey methods.</w:t>
      </w:r>
      <w:r>
        <w:rPr>
          <w:szCs w:val="24"/>
        </w:rPr>
        <w:t xml:space="preserve"> </w:t>
      </w:r>
      <w:r w:rsidR="00491B9F">
        <w:rPr>
          <w:szCs w:val="24"/>
        </w:rPr>
        <w:t xml:space="preserve">Since this is not </w:t>
      </w:r>
      <w:r w:rsidR="00266C1D">
        <w:rPr>
          <w:szCs w:val="24"/>
        </w:rPr>
        <w:t>likely a representative sample</w:t>
      </w:r>
      <w:r w:rsidR="00491B9F">
        <w:rPr>
          <w:szCs w:val="24"/>
        </w:rPr>
        <w:t xml:space="preserve">, it is </w:t>
      </w:r>
      <w:r w:rsidR="00040E97">
        <w:rPr>
          <w:szCs w:val="24"/>
        </w:rPr>
        <w:t xml:space="preserve">not </w:t>
      </w:r>
      <w:r w:rsidR="00731553">
        <w:rPr>
          <w:szCs w:val="24"/>
        </w:rPr>
        <w:t xml:space="preserve">possible at this time to assess the density of occupation on the Dundas Islands during the early and mid-Holocene. </w:t>
      </w:r>
      <w:r w:rsidR="000F4FDC">
        <w:rPr>
          <w:szCs w:val="24"/>
        </w:rPr>
        <w:t>However, there is likely a relationship between site size</w:t>
      </w:r>
      <w:r w:rsidR="004E2A06">
        <w:rPr>
          <w:szCs w:val="24"/>
        </w:rPr>
        <w:t xml:space="preserve"> -</w:t>
      </w:r>
      <w:r w:rsidR="000F4FDC">
        <w:rPr>
          <w:szCs w:val="24"/>
        </w:rPr>
        <w:t xml:space="preserve"> especially number and area of houses</w:t>
      </w:r>
      <w:r w:rsidR="004E2A06">
        <w:rPr>
          <w:szCs w:val="24"/>
        </w:rPr>
        <w:t xml:space="preserve"> -</w:t>
      </w:r>
      <w:r w:rsidR="000F4FDC">
        <w:rPr>
          <w:szCs w:val="24"/>
        </w:rPr>
        <w:t xml:space="preserve"> and demography,</w:t>
      </w:r>
      <w:r w:rsidR="006819D7">
        <w:rPr>
          <w:szCs w:val="24"/>
        </w:rPr>
        <w:t xml:space="preserve"> and the small surface areas of the known sites</w:t>
      </w:r>
      <w:r w:rsidR="000F4FDC">
        <w:rPr>
          <w:szCs w:val="24"/>
        </w:rPr>
        <w:t xml:space="preserve"> </w:t>
      </w:r>
      <w:r w:rsidR="006819D7">
        <w:rPr>
          <w:szCs w:val="24"/>
        </w:rPr>
        <w:t>suggest</w:t>
      </w:r>
      <w:r w:rsidR="000F4FDC">
        <w:rPr>
          <w:szCs w:val="24"/>
        </w:rPr>
        <w:t xml:space="preserve"> that small co-resident groups characterized this period. </w:t>
      </w:r>
      <w:r w:rsidR="004F13EF">
        <w:rPr>
          <w:szCs w:val="24"/>
        </w:rPr>
        <w:t xml:space="preserve">Excavated faunal remains from Far West Point </w:t>
      </w:r>
      <w:r w:rsidR="00272ED1" w:rsidRPr="00A66575">
        <w:rPr>
          <w:szCs w:val="24"/>
        </w:rPr>
        <w:t xml:space="preserve">(GcTr-6) </w:t>
      </w:r>
      <w:r w:rsidR="00970F18">
        <w:rPr>
          <w:szCs w:val="24"/>
        </w:rPr>
        <w:t xml:space="preserve">(Martindale et al. 2009:1569; McLaren 2008), GdTq-3, and GcTq-4 (Martindale et al. 2010) indicate </w:t>
      </w:r>
      <w:r w:rsidR="00272ED1">
        <w:rPr>
          <w:szCs w:val="24"/>
        </w:rPr>
        <w:t xml:space="preserve">that </w:t>
      </w:r>
      <w:r w:rsidR="00970F18">
        <w:rPr>
          <w:szCs w:val="24"/>
        </w:rPr>
        <w:t xml:space="preserve">the inhabitants relied primarily on </w:t>
      </w:r>
      <w:r w:rsidR="00491B9F">
        <w:rPr>
          <w:szCs w:val="24"/>
        </w:rPr>
        <w:t>locally available</w:t>
      </w:r>
      <w:r w:rsidR="00970F18">
        <w:rPr>
          <w:szCs w:val="24"/>
        </w:rPr>
        <w:t xml:space="preserve"> intertidal and offshore marine resources</w:t>
      </w:r>
      <w:r w:rsidR="00491B9F">
        <w:rPr>
          <w:szCs w:val="24"/>
        </w:rPr>
        <w:t>.</w:t>
      </w:r>
      <w:r w:rsidR="00970F18">
        <w:rPr>
          <w:szCs w:val="24"/>
        </w:rPr>
        <w:t xml:space="preserve"> </w:t>
      </w:r>
      <w:r w:rsidR="00D20CD2">
        <w:rPr>
          <w:szCs w:val="24"/>
        </w:rPr>
        <w:t xml:space="preserve">The capture of many </w:t>
      </w:r>
      <w:r w:rsidR="0019434A">
        <w:rPr>
          <w:szCs w:val="24"/>
        </w:rPr>
        <w:t xml:space="preserve">of </w:t>
      </w:r>
      <w:r w:rsidR="00D20CD2">
        <w:rPr>
          <w:szCs w:val="24"/>
        </w:rPr>
        <w:t>these resources</w:t>
      </w:r>
      <w:r w:rsidR="00272ED1">
        <w:rPr>
          <w:szCs w:val="24"/>
        </w:rPr>
        <w:t>,</w:t>
      </w:r>
      <w:r w:rsidR="00D20CD2">
        <w:rPr>
          <w:szCs w:val="24"/>
        </w:rPr>
        <w:t xml:space="preserve"> as well as transportation and </w:t>
      </w:r>
      <w:r w:rsidR="00D20CD2">
        <w:rPr>
          <w:szCs w:val="24"/>
        </w:rPr>
        <w:lastRenderedPageBreak/>
        <w:t>movement through the island landscape</w:t>
      </w:r>
      <w:r w:rsidR="00272ED1">
        <w:rPr>
          <w:szCs w:val="24"/>
        </w:rPr>
        <w:t>,</w:t>
      </w:r>
      <w:r w:rsidR="00D20CD2">
        <w:rPr>
          <w:szCs w:val="24"/>
        </w:rPr>
        <w:t xml:space="preserve"> would have required competent boat technology, </w:t>
      </w:r>
      <w:r w:rsidR="0019434A">
        <w:rPr>
          <w:szCs w:val="24"/>
        </w:rPr>
        <w:t xml:space="preserve">demonstrating </w:t>
      </w:r>
      <w:r w:rsidR="00D20CD2">
        <w:rPr>
          <w:szCs w:val="24"/>
        </w:rPr>
        <w:t xml:space="preserve">a </w:t>
      </w:r>
      <w:r w:rsidR="00295075">
        <w:rPr>
          <w:szCs w:val="24"/>
        </w:rPr>
        <w:t>well</w:t>
      </w:r>
      <w:r w:rsidR="0076513F">
        <w:rPr>
          <w:szCs w:val="24"/>
        </w:rPr>
        <w:t>-</w:t>
      </w:r>
      <w:r w:rsidR="002746E6">
        <w:rPr>
          <w:szCs w:val="24"/>
        </w:rPr>
        <w:t>developed</w:t>
      </w:r>
      <w:r w:rsidR="00D20CD2">
        <w:rPr>
          <w:szCs w:val="24"/>
        </w:rPr>
        <w:t xml:space="preserve"> marine </w:t>
      </w:r>
      <w:r w:rsidR="005E0246">
        <w:rPr>
          <w:szCs w:val="24"/>
        </w:rPr>
        <w:t xml:space="preserve">orientation </w:t>
      </w:r>
      <w:r w:rsidR="00D20CD2">
        <w:rPr>
          <w:szCs w:val="24"/>
        </w:rPr>
        <w:t>of the earliest inhabitants on the Dundas Islands.</w:t>
      </w:r>
    </w:p>
    <w:p w14:paraId="2FAA2D63" w14:textId="77777777" w:rsidR="00B90AD7" w:rsidRDefault="00B90AD7" w:rsidP="005E1E4C">
      <w:pPr>
        <w:spacing w:after="0" w:line="480" w:lineRule="auto"/>
        <w:rPr>
          <w:szCs w:val="24"/>
        </w:rPr>
      </w:pPr>
    </w:p>
    <w:p w14:paraId="2E9BFFBD" w14:textId="17ECB66C" w:rsidR="00D20CD2" w:rsidRPr="00E734BD" w:rsidRDefault="00D20CD2" w:rsidP="005E1E4C">
      <w:pPr>
        <w:spacing w:after="0" w:line="480" w:lineRule="auto"/>
        <w:rPr>
          <w:b/>
          <w:i/>
          <w:szCs w:val="24"/>
        </w:rPr>
      </w:pPr>
      <w:r w:rsidRPr="00E734BD">
        <w:rPr>
          <w:b/>
          <w:i/>
          <w:szCs w:val="24"/>
        </w:rPr>
        <w:t>5000</w:t>
      </w:r>
      <w:r w:rsidR="00E734BD" w:rsidRPr="00E734BD">
        <w:rPr>
          <w:b/>
          <w:i/>
          <w:szCs w:val="24"/>
        </w:rPr>
        <w:t xml:space="preserve"> to </w:t>
      </w:r>
      <w:r w:rsidR="007C4F83" w:rsidRPr="00E734BD">
        <w:rPr>
          <w:b/>
          <w:i/>
          <w:szCs w:val="24"/>
        </w:rPr>
        <w:t>2000 BP</w:t>
      </w:r>
      <w:r w:rsidRPr="00E734BD">
        <w:rPr>
          <w:b/>
          <w:i/>
          <w:szCs w:val="24"/>
        </w:rPr>
        <w:t xml:space="preserve">: </w:t>
      </w:r>
      <w:r w:rsidR="00C67B2A">
        <w:rPr>
          <w:b/>
          <w:i/>
          <w:szCs w:val="24"/>
        </w:rPr>
        <w:t>Habitation</w:t>
      </w:r>
      <w:r w:rsidR="00C67B2A" w:rsidRPr="00E734BD">
        <w:rPr>
          <w:b/>
          <w:i/>
          <w:szCs w:val="24"/>
        </w:rPr>
        <w:t xml:space="preserve"> </w:t>
      </w:r>
      <w:r w:rsidR="00E734BD" w:rsidRPr="00E734BD">
        <w:rPr>
          <w:b/>
          <w:i/>
          <w:szCs w:val="24"/>
        </w:rPr>
        <w:t>Site Diversification and Large Village Occupation</w:t>
      </w:r>
    </w:p>
    <w:p w14:paraId="31AEC828" w14:textId="77777777" w:rsidR="00D20CD2" w:rsidRPr="000A14B2" w:rsidRDefault="00D20CD2" w:rsidP="005E1E4C">
      <w:pPr>
        <w:spacing w:after="0" w:line="480" w:lineRule="auto"/>
        <w:rPr>
          <w:rFonts w:ascii="Calibri" w:eastAsia="Times New Roman" w:hAnsi="Calibri"/>
          <w:sz w:val="22"/>
          <w:szCs w:val="22"/>
        </w:rPr>
      </w:pPr>
      <w:r>
        <w:rPr>
          <w:b/>
          <w:szCs w:val="24"/>
        </w:rPr>
        <w:tab/>
      </w:r>
      <w:r w:rsidR="00AD7752">
        <w:rPr>
          <w:szCs w:val="24"/>
        </w:rPr>
        <w:t>S</w:t>
      </w:r>
      <w:r w:rsidRPr="00E112E0">
        <w:rPr>
          <w:szCs w:val="24"/>
        </w:rPr>
        <w:t>mall</w:t>
      </w:r>
      <w:r w:rsidRPr="00A66575">
        <w:rPr>
          <w:szCs w:val="24"/>
        </w:rPr>
        <w:t xml:space="preserve"> shell-bearing sites lacking surface features continued to be abundant</w:t>
      </w:r>
      <w:r w:rsidR="00393A1C">
        <w:rPr>
          <w:szCs w:val="24"/>
        </w:rPr>
        <w:t xml:space="preserve"> </w:t>
      </w:r>
      <w:r w:rsidR="0044660D">
        <w:rPr>
          <w:szCs w:val="24"/>
        </w:rPr>
        <w:t xml:space="preserve">into </w:t>
      </w:r>
      <w:r w:rsidR="00393A1C">
        <w:rPr>
          <w:szCs w:val="24"/>
        </w:rPr>
        <w:t>the latter half of the Holocene</w:t>
      </w:r>
      <w:r w:rsidRPr="00A66575">
        <w:rPr>
          <w:szCs w:val="24"/>
        </w:rPr>
        <w:t>. There is a second discrete 1</w:t>
      </w:r>
      <w:r w:rsidR="00613A19">
        <w:rPr>
          <w:szCs w:val="24"/>
        </w:rPr>
        <w:t>.</w:t>
      </w:r>
      <w:r w:rsidRPr="00A66575">
        <w:rPr>
          <w:szCs w:val="24"/>
        </w:rPr>
        <w:t xml:space="preserve">8 </w:t>
      </w:r>
      <w:r w:rsidR="00613A19">
        <w:rPr>
          <w:szCs w:val="24"/>
        </w:rPr>
        <w:t>metre</w:t>
      </w:r>
      <w:r w:rsidRPr="00A66575">
        <w:rPr>
          <w:szCs w:val="24"/>
        </w:rPr>
        <w:t xml:space="preserve">-deep shell component at Far West Point (GcTr-6) on a </w:t>
      </w:r>
      <w:r w:rsidR="0095434C">
        <w:rPr>
          <w:szCs w:val="24"/>
        </w:rPr>
        <w:t>4.5 m</w:t>
      </w:r>
      <w:r w:rsidR="00613A19">
        <w:rPr>
          <w:szCs w:val="24"/>
        </w:rPr>
        <w:t>etre</w:t>
      </w:r>
      <w:r w:rsidR="0095434C">
        <w:rPr>
          <w:szCs w:val="24"/>
        </w:rPr>
        <w:t xml:space="preserve"> A</w:t>
      </w:r>
      <w:r w:rsidRPr="00A66575">
        <w:rPr>
          <w:szCs w:val="24"/>
        </w:rPr>
        <w:t xml:space="preserve">SL terrace that dates </w:t>
      </w:r>
      <w:r w:rsidRPr="00445BEF">
        <w:rPr>
          <w:szCs w:val="24"/>
        </w:rPr>
        <w:t xml:space="preserve">from </w:t>
      </w:r>
      <w:r w:rsidR="00BD043A">
        <w:rPr>
          <w:rFonts w:eastAsia="Times New Roman"/>
          <w:szCs w:val="24"/>
        </w:rPr>
        <w:t>the third and fourth millennia</w:t>
      </w:r>
      <w:r w:rsidRPr="00DF1BEF">
        <w:rPr>
          <w:szCs w:val="24"/>
        </w:rPr>
        <w:t xml:space="preserve"> BP, and a cluster of small discrete shell areas at GcTr-3</w:t>
      </w:r>
      <w:r w:rsidR="0095434C" w:rsidRPr="00BB5C8B">
        <w:rPr>
          <w:szCs w:val="24"/>
        </w:rPr>
        <w:t xml:space="preserve"> on a small islet in Hudson Bay Pass</w:t>
      </w:r>
      <w:r w:rsidRPr="00BB5C8B">
        <w:rPr>
          <w:szCs w:val="24"/>
        </w:rPr>
        <w:t xml:space="preserve"> </w:t>
      </w:r>
      <w:r w:rsidR="00BD043A">
        <w:rPr>
          <w:szCs w:val="24"/>
        </w:rPr>
        <w:t>with a similar range of dates (</w:t>
      </w:r>
      <w:r w:rsidR="008E7864" w:rsidRPr="00B8012D">
        <w:rPr>
          <w:szCs w:val="24"/>
        </w:rPr>
        <w:t xml:space="preserve">Table 2, </w:t>
      </w:r>
      <w:r w:rsidR="00BD043A" w:rsidRPr="00B8012D">
        <w:rPr>
          <w:szCs w:val="24"/>
        </w:rPr>
        <w:t xml:space="preserve">Figure </w:t>
      </w:r>
      <w:r w:rsidR="008E7864" w:rsidRPr="00B8012D">
        <w:rPr>
          <w:szCs w:val="24"/>
        </w:rPr>
        <w:t>6</w:t>
      </w:r>
      <w:r w:rsidR="00BD043A">
        <w:rPr>
          <w:szCs w:val="24"/>
        </w:rPr>
        <w:t>)</w:t>
      </w:r>
      <w:r w:rsidRPr="00A66575">
        <w:rPr>
          <w:szCs w:val="24"/>
        </w:rPr>
        <w:t xml:space="preserve">. Both of these dated deposits are inland and </w:t>
      </w:r>
      <w:r w:rsidRPr="00D46AEF">
        <w:rPr>
          <w:szCs w:val="24"/>
        </w:rPr>
        <w:t>may have been</w:t>
      </w:r>
      <w:r w:rsidRPr="00A66575">
        <w:rPr>
          <w:szCs w:val="24"/>
        </w:rPr>
        <w:t xml:space="preserve"> </w:t>
      </w:r>
      <w:r w:rsidR="000A14B2">
        <w:rPr>
          <w:szCs w:val="24"/>
        </w:rPr>
        <w:t xml:space="preserve">parts of </w:t>
      </w:r>
      <w:r w:rsidRPr="00A66575">
        <w:rPr>
          <w:szCs w:val="24"/>
        </w:rPr>
        <w:t xml:space="preserve">small camps </w:t>
      </w:r>
      <w:r w:rsidR="000A14B2">
        <w:rPr>
          <w:szCs w:val="24"/>
        </w:rPr>
        <w:t>as people followed</w:t>
      </w:r>
      <w:r w:rsidR="000A14B2" w:rsidRPr="00A66575">
        <w:rPr>
          <w:szCs w:val="24"/>
        </w:rPr>
        <w:t xml:space="preserve"> </w:t>
      </w:r>
      <w:r w:rsidRPr="00A66575">
        <w:rPr>
          <w:szCs w:val="24"/>
        </w:rPr>
        <w:t xml:space="preserve">the </w:t>
      </w:r>
      <w:r w:rsidR="00E112E0">
        <w:rPr>
          <w:szCs w:val="24"/>
        </w:rPr>
        <w:t>gradually falling</w:t>
      </w:r>
      <w:r w:rsidR="00E112E0" w:rsidRPr="00A66575">
        <w:rPr>
          <w:szCs w:val="24"/>
        </w:rPr>
        <w:t xml:space="preserve"> </w:t>
      </w:r>
      <w:r w:rsidR="00E112E0">
        <w:rPr>
          <w:szCs w:val="24"/>
        </w:rPr>
        <w:t xml:space="preserve">relative </w:t>
      </w:r>
      <w:r w:rsidRPr="00A66575">
        <w:rPr>
          <w:szCs w:val="24"/>
        </w:rPr>
        <w:t xml:space="preserve">sea level </w:t>
      </w:r>
      <w:r w:rsidR="00E112E0">
        <w:rPr>
          <w:szCs w:val="24"/>
        </w:rPr>
        <w:t>over</w:t>
      </w:r>
      <w:r w:rsidR="00E112E0" w:rsidRPr="00A66575">
        <w:rPr>
          <w:szCs w:val="24"/>
        </w:rPr>
        <w:t xml:space="preserve"> </w:t>
      </w:r>
      <w:r w:rsidRPr="00A66575">
        <w:rPr>
          <w:szCs w:val="24"/>
        </w:rPr>
        <w:t xml:space="preserve">the last </w:t>
      </w:r>
      <w:r w:rsidR="0095434C">
        <w:rPr>
          <w:szCs w:val="24"/>
        </w:rPr>
        <w:t>6</w:t>
      </w:r>
      <w:r w:rsidR="00613A19">
        <w:rPr>
          <w:szCs w:val="24"/>
        </w:rPr>
        <w:t>,</w:t>
      </w:r>
      <w:r w:rsidR="0095434C">
        <w:rPr>
          <w:szCs w:val="24"/>
        </w:rPr>
        <w:t>100</w:t>
      </w:r>
      <w:r w:rsidRPr="00A66575">
        <w:rPr>
          <w:szCs w:val="24"/>
        </w:rPr>
        <w:t xml:space="preserve"> years. </w:t>
      </w:r>
      <w:r w:rsidR="009C3520">
        <w:rPr>
          <w:szCs w:val="24"/>
        </w:rPr>
        <w:t>In addition, there are</w:t>
      </w:r>
      <w:r w:rsidR="0095434C">
        <w:rPr>
          <w:szCs w:val="24"/>
        </w:rPr>
        <w:t xml:space="preserve"> many small</w:t>
      </w:r>
      <w:r w:rsidR="00613A19">
        <w:rPr>
          <w:szCs w:val="24"/>
        </w:rPr>
        <w:t>,</w:t>
      </w:r>
      <w:r w:rsidR="0095434C">
        <w:rPr>
          <w:szCs w:val="24"/>
        </w:rPr>
        <w:t xml:space="preserve"> undated shell-bearing sites on the current shoreline</w:t>
      </w:r>
      <w:r w:rsidR="003D65AB">
        <w:rPr>
          <w:szCs w:val="24"/>
        </w:rPr>
        <w:t xml:space="preserve"> </w:t>
      </w:r>
      <w:proofErr w:type="gramStart"/>
      <w:r w:rsidR="003D65AB">
        <w:rPr>
          <w:szCs w:val="24"/>
        </w:rPr>
        <w:t>that,</w:t>
      </w:r>
      <w:proofErr w:type="gramEnd"/>
      <w:r w:rsidR="003D65AB">
        <w:rPr>
          <w:szCs w:val="24"/>
        </w:rPr>
        <w:t xml:space="preserve"> based on their elevation, </w:t>
      </w:r>
      <w:r w:rsidR="003D65AB" w:rsidRPr="00D46AEF">
        <w:rPr>
          <w:szCs w:val="24"/>
        </w:rPr>
        <w:t>likely</w:t>
      </w:r>
      <w:r w:rsidR="003D65AB">
        <w:rPr>
          <w:szCs w:val="24"/>
        </w:rPr>
        <w:t xml:space="preserve"> </w:t>
      </w:r>
      <w:r w:rsidR="00E112E0">
        <w:rPr>
          <w:szCs w:val="24"/>
        </w:rPr>
        <w:t>post</w:t>
      </w:r>
      <w:r w:rsidR="008C71D8">
        <w:rPr>
          <w:szCs w:val="24"/>
        </w:rPr>
        <w:t>-</w:t>
      </w:r>
      <w:r w:rsidR="003D65AB">
        <w:rPr>
          <w:szCs w:val="24"/>
        </w:rPr>
        <w:t>date</w:t>
      </w:r>
      <w:r w:rsidR="009C3520">
        <w:rPr>
          <w:szCs w:val="24"/>
        </w:rPr>
        <w:t xml:space="preserve"> </w:t>
      </w:r>
      <w:r w:rsidR="003D65AB">
        <w:rPr>
          <w:szCs w:val="24"/>
        </w:rPr>
        <w:t xml:space="preserve">4300 </w:t>
      </w:r>
      <w:proofErr w:type="spellStart"/>
      <w:r w:rsidR="003D65AB">
        <w:rPr>
          <w:szCs w:val="24"/>
        </w:rPr>
        <w:t>cal</w:t>
      </w:r>
      <w:proofErr w:type="spellEnd"/>
      <w:r w:rsidR="00E112E0">
        <w:rPr>
          <w:szCs w:val="24"/>
        </w:rPr>
        <w:t xml:space="preserve"> </w:t>
      </w:r>
      <w:proofErr w:type="spellStart"/>
      <w:r w:rsidR="00E112E0">
        <w:rPr>
          <w:szCs w:val="24"/>
        </w:rPr>
        <w:t>yr</w:t>
      </w:r>
      <w:proofErr w:type="spellEnd"/>
      <w:r w:rsidR="003D65AB">
        <w:rPr>
          <w:szCs w:val="24"/>
        </w:rPr>
        <w:t xml:space="preserve"> BP</w:t>
      </w:r>
      <w:r w:rsidRPr="00A66575">
        <w:rPr>
          <w:szCs w:val="24"/>
        </w:rPr>
        <w:t xml:space="preserve">. </w:t>
      </w:r>
    </w:p>
    <w:p w14:paraId="19417FD9" w14:textId="1EC70254" w:rsidR="00F64E16" w:rsidRPr="006F0339" w:rsidRDefault="00E112E0" w:rsidP="00F64E16">
      <w:pPr>
        <w:spacing w:after="0" w:line="480" w:lineRule="auto"/>
        <w:ind w:firstLine="720"/>
        <w:rPr>
          <w:rFonts w:ascii="Calibri" w:eastAsia="Times New Roman" w:hAnsi="Calibri"/>
          <w:sz w:val="22"/>
          <w:szCs w:val="22"/>
        </w:rPr>
      </w:pPr>
      <w:r>
        <w:rPr>
          <w:szCs w:val="24"/>
        </w:rPr>
        <w:t xml:space="preserve">One of the </w:t>
      </w:r>
      <w:r w:rsidR="00E86B53">
        <w:rPr>
          <w:szCs w:val="24"/>
        </w:rPr>
        <w:t>most striking development</w:t>
      </w:r>
      <w:r>
        <w:rPr>
          <w:szCs w:val="24"/>
        </w:rPr>
        <w:t>s</w:t>
      </w:r>
      <w:r w:rsidR="00E86B53">
        <w:rPr>
          <w:szCs w:val="24"/>
        </w:rPr>
        <w:t xml:space="preserve"> of settlement on the Dundas Islands in the latter half of the Holocene is the construction of very large villages, indicative of large</w:t>
      </w:r>
      <w:r w:rsidR="000F4FDC">
        <w:rPr>
          <w:szCs w:val="24"/>
        </w:rPr>
        <w:t>r</w:t>
      </w:r>
      <w:r w:rsidR="00E86B53">
        <w:rPr>
          <w:szCs w:val="24"/>
        </w:rPr>
        <w:t xml:space="preserve"> </w:t>
      </w:r>
      <w:r w:rsidR="000F4FDC">
        <w:rPr>
          <w:szCs w:val="24"/>
        </w:rPr>
        <w:t xml:space="preserve">co-resident groups </w:t>
      </w:r>
      <w:r w:rsidR="00E86B53">
        <w:rPr>
          <w:szCs w:val="24"/>
        </w:rPr>
        <w:t>of people occupying the area.</w:t>
      </w:r>
      <w:r w:rsidR="000F4FDC">
        <w:rPr>
          <w:szCs w:val="24"/>
        </w:rPr>
        <w:t xml:space="preserve"> </w:t>
      </w:r>
      <w:r w:rsidR="00196D22">
        <w:rPr>
          <w:szCs w:val="24"/>
        </w:rPr>
        <w:t>However, l</w:t>
      </w:r>
      <w:r w:rsidR="00F64E16">
        <w:rPr>
          <w:szCs w:val="24"/>
        </w:rPr>
        <w:t>arge villages with early basal components present interpretive challenges when trying to determine the timing of the appearance of particular architectural layouts</w:t>
      </w:r>
      <w:r w:rsidR="00196D22">
        <w:rPr>
          <w:szCs w:val="24"/>
        </w:rPr>
        <w:t>. D</w:t>
      </w:r>
      <w:r w:rsidR="00F64E16" w:rsidRPr="00A66575">
        <w:rPr>
          <w:szCs w:val="24"/>
        </w:rPr>
        <w:t>etailed subsurface exploration of GcTr-8</w:t>
      </w:r>
      <w:r w:rsidR="00F64E16">
        <w:rPr>
          <w:szCs w:val="24"/>
        </w:rPr>
        <w:t xml:space="preserve"> using percussion coring demonstrated a small early component beneath the later large village,</w:t>
      </w:r>
      <w:r w:rsidR="00F64E16" w:rsidRPr="0069208A">
        <w:rPr>
          <w:szCs w:val="24"/>
        </w:rPr>
        <w:t xml:space="preserve"> </w:t>
      </w:r>
      <w:r w:rsidR="00F64E16">
        <w:rPr>
          <w:szCs w:val="24"/>
        </w:rPr>
        <w:t xml:space="preserve">which suggests that the </w:t>
      </w:r>
      <w:r w:rsidR="00F64E16" w:rsidRPr="00A66575">
        <w:rPr>
          <w:szCs w:val="24"/>
        </w:rPr>
        <w:t xml:space="preserve">earliest dates </w:t>
      </w:r>
      <w:r w:rsidR="00F64E16">
        <w:rPr>
          <w:szCs w:val="24"/>
        </w:rPr>
        <w:t>at other large villages may not be</w:t>
      </w:r>
      <w:r w:rsidR="00F64E16" w:rsidRPr="00A66575">
        <w:rPr>
          <w:szCs w:val="24"/>
        </w:rPr>
        <w:t xml:space="preserve"> representative of the initial village occupation</w:t>
      </w:r>
      <w:r w:rsidR="00F64E16">
        <w:rPr>
          <w:szCs w:val="24"/>
        </w:rPr>
        <w:t xml:space="preserve"> </w:t>
      </w:r>
      <w:r w:rsidR="00F64E16" w:rsidRPr="00A66575">
        <w:rPr>
          <w:szCs w:val="24"/>
        </w:rPr>
        <w:t xml:space="preserve">(see above and Martindale et al. 2009). A pair of </w:t>
      </w:r>
      <w:r w:rsidR="00F64E16">
        <w:rPr>
          <w:szCs w:val="24"/>
        </w:rPr>
        <w:t>basal and terminal</w:t>
      </w:r>
      <w:r w:rsidR="00F64E16" w:rsidRPr="00A66575">
        <w:rPr>
          <w:szCs w:val="24"/>
        </w:rPr>
        <w:t xml:space="preserve"> dates from the </w:t>
      </w:r>
      <w:r w:rsidR="00F64E16">
        <w:rPr>
          <w:szCs w:val="24"/>
        </w:rPr>
        <w:t>landward</w:t>
      </w:r>
      <w:r w:rsidR="00D46AEF">
        <w:rPr>
          <w:szCs w:val="24"/>
        </w:rPr>
        <w:t xml:space="preserve"> rear</w:t>
      </w:r>
      <w:r w:rsidR="00F64E16">
        <w:rPr>
          <w:szCs w:val="24"/>
        </w:rPr>
        <w:t xml:space="preserve"> portion</w:t>
      </w:r>
      <w:r w:rsidR="00F64E16" w:rsidRPr="00A66575">
        <w:rPr>
          <w:szCs w:val="24"/>
        </w:rPr>
        <w:t xml:space="preserve"> of GcTq-5</w:t>
      </w:r>
      <w:r w:rsidR="00F64E16">
        <w:rPr>
          <w:szCs w:val="24"/>
        </w:rPr>
        <w:t xml:space="preserve"> (</w:t>
      </w:r>
      <w:r w:rsidR="00F64E16" w:rsidRPr="00B8012D">
        <w:rPr>
          <w:szCs w:val="24"/>
        </w:rPr>
        <w:t>Figure</w:t>
      </w:r>
      <w:r w:rsidR="00D46AEF" w:rsidRPr="00B8012D">
        <w:rPr>
          <w:szCs w:val="24"/>
        </w:rPr>
        <w:t>s</w:t>
      </w:r>
      <w:r w:rsidR="00F64E16" w:rsidRPr="00B8012D">
        <w:rPr>
          <w:szCs w:val="24"/>
        </w:rPr>
        <w:t xml:space="preserve"> 5a</w:t>
      </w:r>
      <w:r w:rsidR="00D46AEF">
        <w:rPr>
          <w:szCs w:val="24"/>
        </w:rPr>
        <w:t xml:space="preserve"> and 6</w:t>
      </w:r>
      <w:r w:rsidR="00F64E16">
        <w:rPr>
          <w:szCs w:val="24"/>
        </w:rPr>
        <w:t>)</w:t>
      </w:r>
      <w:r w:rsidR="00F64E16" w:rsidRPr="00A66575">
        <w:rPr>
          <w:szCs w:val="24"/>
        </w:rPr>
        <w:t xml:space="preserve"> </w:t>
      </w:r>
      <w:r w:rsidR="00F64E16">
        <w:rPr>
          <w:szCs w:val="24"/>
        </w:rPr>
        <w:t>indicates that</w:t>
      </w:r>
      <w:r w:rsidR="00F64E16" w:rsidRPr="00A66575">
        <w:rPr>
          <w:szCs w:val="24"/>
        </w:rPr>
        <w:t xml:space="preserve"> the shell ridge</w:t>
      </w:r>
      <w:r w:rsidR="00F64E16">
        <w:rPr>
          <w:szCs w:val="24"/>
        </w:rPr>
        <w:t xml:space="preserve"> </w:t>
      </w:r>
      <w:r w:rsidR="00F64E16" w:rsidRPr="00445BEF">
        <w:rPr>
          <w:szCs w:val="24"/>
        </w:rPr>
        <w:t xml:space="preserve">accumulated between </w:t>
      </w:r>
      <w:r w:rsidR="00F64E16" w:rsidRPr="00A65A1D">
        <w:rPr>
          <w:rFonts w:eastAsia="Times New Roman"/>
          <w:szCs w:val="24"/>
        </w:rPr>
        <w:t>2816</w:t>
      </w:r>
      <w:r w:rsidR="00F64E16">
        <w:rPr>
          <w:rFonts w:eastAsia="Times New Roman"/>
          <w:szCs w:val="24"/>
        </w:rPr>
        <w:t xml:space="preserve"> to </w:t>
      </w:r>
      <w:r w:rsidR="00F64E16" w:rsidRPr="00A65A1D">
        <w:rPr>
          <w:rFonts w:eastAsia="Times New Roman"/>
          <w:szCs w:val="24"/>
        </w:rPr>
        <w:t>2373</w:t>
      </w:r>
      <w:r w:rsidR="00F64E16" w:rsidRPr="00445BEF">
        <w:rPr>
          <w:szCs w:val="24"/>
        </w:rPr>
        <w:t xml:space="preserve"> </w:t>
      </w:r>
      <w:proofErr w:type="spellStart"/>
      <w:r w:rsidR="00F64E16" w:rsidRPr="00445BEF">
        <w:rPr>
          <w:szCs w:val="24"/>
        </w:rPr>
        <w:t>cal</w:t>
      </w:r>
      <w:proofErr w:type="spellEnd"/>
      <w:r w:rsidR="00F64E16">
        <w:rPr>
          <w:szCs w:val="24"/>
        </w:rPr>
        <w:t xml:space="preserve"> </w:t>
      </w:r>
      <w:proofErr w:type="spellStart"/>
      <w:r w:rsidR="00F64E16">
        <w:rPr>
          <w:szCs w:val="24"/>
        </w:rPr>
        <w:t>yr</w:t>
      </w:r>
      <w:proofErr w:type="spellEnd"/>
      <w:r w:rsidR="00F64E16" w:rsidRPr="00445BEF">
        <w:rPr>
          <w:szCs w:val="24"/>
        </w:rPr>
        <w:t xml:space="preserve"> BP and </w:t>
      </w:r>
      <w:r w:rsidR="00F64E16" w:rsidRPr="00A65A1D">
        <w:rPr>
          <w:rFonts w:eastAsia="Times New Roman"/>
          <w:szCs w:val="24"/>
        </w:rPr>
        <w:t>2336</w:t>
      </w:r>
      <w:r w:rsidR="00F64E16">
        <w:rPr>
          <w:rFonts w:eastAsia="Times New Roman"/>
          <w:szCs w:val="24"/>
        </w:rPr>
        <w:t xml:space="preserve"> to </w:t>
      </w:r>
      <w:r w:rsidR="00F64E16" w:rsidRPr="00A65A1D">
        <w:rPr>
          <w:rFonts w:eastAsia="Times New Roman"/>
          <w:szCs w:val="24"/>
        </w:rPr>
        <w:t>1933</w:t>
      </w:r>
      <w:r w:rsidR="00F64E16" w:rsidRPr="00445BEF">
        <w:rPr>
          <w:szCs w:val="24"/>
        </w:rPr>
        <w:t xml:space="preserve"> </w:t>
      </w:r>
      <w:proofErr w:type="spellStart"/>
      <w:r w:rsidR="00F64E16" w:rsidRPr="00445BEF">
        <w:rPr>
          <w:szCs w:val="24"/>
        </w:rPr>
        <w:t>cal</w:t>
      </w:r>
      <w:proofErr w:type="spellEnd"/>
      <w:r w:rsidR="00F64E16">
        <w:rPr>
          <w:szCs w:val="24"/>
        </w:rPr>
        <w:t xml:space="preserve"> </w:t>
      </w:r>
      <w:proofErr w:type="spellStart"/>
      <w:r w:rsidR="00F64E16">
        <w:rPr>
          <w:szCs w:val="24"/>
        </w:rPr>
        <w:t>yr</w:t>
      </w:r>
      <w:proofErr w:type="spellEnd"/>
      <w:r w:rsidR="00F64E16" w:rsidRPr="00445BEF">
        <w:rPr>
          <w:szCs w:val="24"/>
        </w:rPr>
        <w:t xml:space="preserve"> BP, while the </w:t>
      </w:r>
      <w:r w:rsidR="00F64E16">
        <w:rPr>
          <w:szCs w:val="24"/>
        </w:rPr>
        <w:t>shoreward portion</w:t>
      </w:r>
      <w:r w:rsidR="00F64E16" w:rsidRPr="00445BEF">
        <w:rPr>
          <w:szCs w:val="24"/>
        </w:rPr>
        <w:t xml:space="preserve"> of the site on the same </w:t>
      </w:r>
      <w:r w:rsidR="00F64E16" w:rsidRPr="00445BEF">
        <w:rPr>
          <w:szCs w:val="24"/>
        </w:rPr>
        <w:lastRenderedPageBreak/>
        <w:t xml:space="preserve">axis from this point dates </w:t>
      </w:r>
      <w:r w:rsidR="00F64E16">
        <w:rPr>
          <w:szCs w:val="24"/>
        </w:rPr>
        <w:t xml:space="preserve">between </w:t>
      </w:r>
      <w:r w:rsidR="00F64E16" w:rsidRPr="00A65A1D">
        <w:rPr>
          <w:rFonts w:eastAsia="Times New Roman"/>
          <w:szCs w:val="24"/>
        </w:rPr>
        <w:t>1677</w:t>
      </w:r>
      <w:r w:rsidR="00F64E16">
        <w:rPr>
          <w:rFonts w:eastAsia="Times New Roman"/>
          <w:szCs w:val="24"/>
        </w:rPr>
        <w:t xml:space="preserve"> to </w:t>
      </w:r>
      <w:r w:rsidR="00F64E16" w:rsidRPr="00A65A1D">
        <w:rPr>
          <w:rFonts w:eastAsia="Times New Roman"/>
          <w:szCs w:val="24"/>
        </w:rPr>
        <w:t>1284</w:t>
      </w:r>
      <w:r w:rsidR="00F64E16">
        <w:rPr>
          <w:rFonts w:eastAsia="Times New Roman"/>
          <w:szCs w:val="24"/>
        </w:rPr>
        <w:t xml:space="preserve"> </w:t>
      </w:r>
      <w:proofErr w:type="spellStart"/>
      <w:r w:rsidR="00F64E16" w:rsidRPr="00445BEF">
        <w:rPr>
          <w:szCs w:val="24"/>
        </w:rPr>
        <w:t>cal</w:t>
      </w:r>
      <w:proofErr w:type="spellEnd"/>
      <w:r w:rsidR="00F64E16">
        <w:rPr>
          <w:szCs w:val="24"/>
        </w:rPr>
        <w:t xml:space="preserve"> </w:t>
      </w:r>
      <w:proofErr w:type="spellStart"/>
      <w:r w:rsidR="00F64E16">
        <w:rPr>
          <w:szCs w:val="24"/>
        </w:rPr>
        <w:t>yr</w:t>
      </w:r>
      <w:proofErr w:type="spellEnd"/>
      <w:r w:rsidR="00F64E16" w:rsidRPr="00445BEF">
        <w:rPr>
          <w:szCs w:val="24"/>
        </w:rPr>
        <w:t xml:space="preserve"> BP </w:t>
      </w:r>
      <w:r w:rsidR="00F64E16">
        <w:rPr>
          <w:szCs w:val="24"/>
        </w:rPr>
        <w:t>and</w:t>
      </w:r>
      <w:r w:rsidR="00F64E16" w:rsidRPr="00445BEF">
        <w:rPr>
          <w:szCs w:val="24"/>
        </w:rPr>
        <w:t xml:space="preserve"> </w:t>
      </w:r>
      <w:r w:rsidR="00F64E16" w:rsidRPr="00A65A1D">
        <w:rPr>
          <w:rFonts w:eastAsia="Times New Roman"/>
          <w:szCs w:val="24"/>
        </w:rPr>
        <w:t>1657</w:t>
      </w:r>
      <w:r w:rsidR="00F64E16">
        <w:rPr>
          <w:rFonts w:eastAsia="Times New Roman"/>
          <w:szCs w:val="24"/>
        </w:rPr>
        <w:t xml:space="preserve"> to </w:t>
      </w:r>
      <w:r w:rsidR="00F64E16" w:rsidRPr="00A65A1D">
        <w:rPr>
          <w:rFonts w:eastAsia="Times New Roman"/>
          <w:szCs w:val="24"/>
        </w:rPr>
        <w:t>1269</w:t>
      </w:r>
      <w:r w:rsidR="00F64E16" w:rsidRPr="00A66575">
        <w:rPr>
          <w:szCs w:val="24"/>
        </w:rPr>
        <w:t xml:space="preserve"> </w:t>
      </w:r>
      <w:proofErr w:type="spellStart"/>
      <w:r w:rsidR="00F64E16" w:rsidRPr="00A66575">
        <w:rPr>
          <w:szCs w:val="24"/>
        </w:rPr>
        <w:t>cal</w:t>
      </w:r>
      <w:proofErr w:type="spellEnd"/>
      <w:r w:rsidR="00F64E16">
        <w:rPr>
          <w:szCs w:val="24"/>
        </w:rPr>
        <w:t xml:space="preserve"> </w:t>
      </w:r>
      <w:proofErr w:type="spellStart"/>
      <w:r w:rsidR="00F64E16">
        <w:rPr>
          <w:szCs w:val="24"/>
        </w:rPr>
        <w:t>yr</w:t>
      </w:r>
      <w:proofErr w:type="spellEnd"/>
      <w:r w:rsidR="003A2A1A">
        <w:rPr>
          <w:szCs w:val="24"/>
        </w:rPr>
        <w:t xml:space="preserve"> BP. The site </w:t>
      </w:r>
      <w:r w:rsidR="00F64E16" w:rsidRPr="00A66575">
        <w:rPr>
          <w:szCs w:val="24"/>
        </w:rPr>
        <w:t xml:space="preserve">appears to have </w:t>
      </w:r>
      <w:r w:rsidR="00B8012D">
        <w:rPr>
          <w:szCs w:val="24"/>
        </w:rPr>
        <w:t>expanded</w:t>
      </w:r>
      <w:r w:rsidR="00B8012D" w:rsidRPr="00A66575">
        <w:rPr>
          <w:szCs w:val="24"/>
        </w:rPr>
        <w:t xml:space="preserve"> </w:t>
      </w:r>
      <w:r w:rsidR="00F64E16" w:rsidRPr="00A66575">
        <w:rPr>
          <w:szCs w:val="24"/>
        </w:rPr>
        <w:t xml:space="preserve">towards the </w:t>
      </w:r>
      <w:r w:rsidR="00D46AEF">
        <w:rPr>
          <w:szCs w:val="24"/>
        </w:rPr>
        <w:t xml:space="preserve">current </w:t>
      </w:r>
      <w:r w:rsidR="00F64E16">
        <w:rPr>
          <w:szCs w:val="24"/>
        </w:rPr>
        <w:t>shoreline</w:t>
      </w:r>
      <w:r w:rsidR="00F64E16" w:rsidRPr="00A66575">
        <w:rPr>
          <w:szCs w:val="24"/>
        </w:rPr>
        <w:t xml:space="preserve"> over a period of about 1</w:t>
      </w:r>
      <w:r w:rsidR="00196D22">
        <w:rPr>
          <w:szCs w:val="24"/>
        </w:rPr>
        <w:t>,</w:t>
      </w:r>
      <w:r w:rsidR="00F64E16" w:rsidRPr="00A66575">
        <w:rPr>
          <w:szCs w:val="24"/>
        </w:rPr>
        <w:t>500 years</w:t>
      </w:r>
      <w:r w:rsidR="003A2A1A">
        <w:rPr>
          <w:szCs w:val="24"/>
        </w:rPr>
        <w:t>. This is</w:t>
      </w:r>
      <w:r w:rsidR="00F64E16">
        <w:rPr>
          <w:szCs w:val="24"/>
        </w:rPr>
        <w:t xml:space="preserve"> </w:t>
      </w:r>
      <w:r w:rsidR="00D46AEF">
        <w:rPr>
          <w:szCs w:val="24"/>
        </w:rPr>
        <w:t xml:space="preserve">perhaps the result of occupation expanding shoreward following the regressing sea level. </w:t>
      </w:r>
      <w:r w:rsidR="00EA6A07">
        <w:rPr>
          <w:szCs w:val="24"/>
        </w:rPr>
        <w:t xml:space="preserve">Two metres of </w:t>
      </w:r>
      <w:r w:rsidR="008453F3">
        <w:rPr>
          <w:szCs w:val="24"/>
        </w:rPr>
        <w:t>shell</w:t>
      </w:r>
      <w:r w:rsidR="00196D22">
        <w:rPr>
          <w:szCs w:val="24"/>
        </w:rPr>
        <w:t>-</w:t>
      </w:r>
      <w:r w:rsidR="008453F3">
        <w:rPr>
          <w:szCs w:val="24"/>
        </w:rPr>
        <w:t xml:space="preserve">rich </w:t>
      </w:r>
      <w:r w:rsidR="00EA6A07">
        <w:rPr>
          <w:szCs w:val="24"/>
        </w:rPr>
        <w:t xml:space="preserve">deposit accumulated very rapidly at this location, suggesting terrace construction at this newly </w:t>
      </w:r>
      <w:r w:rsidR="00196D22">
        <w:rPr>
          <w:szCs w:val="24"/>
        </w:rPr>
        <w:t xml:space="preserve">occupied </w:t>
      </w:r>
      <w:r w:rsidR="00EA6A07">
        <w:rPr>
          <w:szCs w:val="24"/>
        </w:rPr>
        <w:t>front of the site</w:t>
      </w:r>
      <w:r w:rsidR="00F64E16" w:rsidRPr="00A66575">
        <w:rPr>
          <w:szCs w:val="24"/>
        </w:rPr>
        <w:t xml:space="preserve">. A hearth </w:t>
      </w:r>
      <w:r w:rsidR="00F64E16">
        <w:rPr>
          <w:szCs w:val="24"/>
        </w:rPr>
        <w:t>excavated</w:t>
      </w:r>
      <w:r w:rsidR="00F64E16" w:rsidRPr="00A66575">
        <w:rPr>
          <w:szCs w:val="24"/>
        </w:rPr>
        <w:t xml:space="preserve"> in one of the houses in the back row is contemporaneous with the front </w:t>
      </w:r>
      <w:r w:rsidR="00F64E16">
        <w:rPr>
          <w:szCs w:val="24"/>
        </w:rPr>
        <w:t>terrace</w:t>
      </w:r>
      <w:r w:rsidR="00196D22">
        <w:rPr>
          <w:szCs w:val="24"/>
        </w:rPr>
        <w:t>,</w:t>
      </w:r>
      <w:r w:rsidR="003A2A1A">
        <w:rPr>
          <w:szCs w:val="24"/>
        </w:rPr>
        <w:t xml:space="preserve"> providing evidence</w:t>
      </w:r>
      <w:r w:rsidR="00F64E16" w:rsidRPr="00A66575">
        <w:rPr>
          <w:szCs w:val="24"/>
        </w:rPr>
        <w:t xml:space="preserve"> </w:t>
      </w:r>
      <w:r w:rsidR="003A2A1A">
        <w:rPr>
          <w:szCs w:val="24"/>
        </w:rPr>
        <w:t>that this</w:t>
      </w:r>
      <w:r w:rsidR="00131D8F">
        <w:rPr>
          <w:szCs w:val="24"/>
        </w:rPr>
        <w:t xml:space="preserve"> was a large village in use during the</w:t>
      </w:r>
      <w:r w:rsidR="00F64E16" w:rsidRPr="00A66575">
        <w:rPr>
          <w:szCs w:val="24"/>
        </w:rPr>
        <w:t xml:space="preserve"> latter half of the second millennium BP.</w:t>
      </w:r>
    </w:p>
    <w:p w14:paraId="00D26F18" w14:textId="24D56966" w:rsidR="00FA70E3" w:rsidRDefault="00EA6A07">
      <w:pPr>
        <w:spacing w:after="0" w:line="480" w:lineRule="auto"/>
        <w:ind w:firstLine="720"/>
        <w:rPr>
          <w:szCs w:val="24"/>
        </w:rPr>
      </w:pPr>
      <w:r>
        <w:rPr>
          <w:szCs w:val="24"/>
        </w:rPr>
        <w:t>The</w:t>
      </w:r>
      <w:r w:rsidR="00F64E16">
        <w:rPr>
          <w:szCs w:val="24"/>
        </w:rPr>
        <w:t xml:space="preserve"> rapid accumulation of deposits observed at the front of GcTq-5 is a characteristic observed at several other large villages. </w:t>
      </w:r>
      <w:r w:rsidR="00F64E16" w:rsidRPr="00B8012D">
        <w:rPr>
          <w:szCs w:val="24"/>
        </w:rPr>
        <w:t xml:space="preserve">Some </w:t>
      </w:r>
      <w:r w:rsidR="00B37C92">
        <w:t xml:space="preserve">bracketing dates </w:t>
      </w:r>
      <w:r w:rsidR="00F64E16" w:rsidRPr="00A66575">
        <w:rPr>
          <w:szCs w:val="24"/>
        </w:rPr>
        <w:t>f</w:t>
      </w:r>
      <w:r w:rsidR="00B37C92">
        <w:rPr>
          <w:szCs w:val="24"/>
        </w:rPr>
        <w:t>rom</w:t>
      </w:r>
      <w:r w:rsidR="00F64E16" w:rsidRPr="00A66575">
        <w:rPr>
          <w:szCs w:val="24"/>
        </w:rPr>
        <w:t xml:space="preserve"> basal and terminal </w:t>
      </w:r>
      <w:r w:rsidR="00B37C92">
        <w:rPr>
          <w:szCs w:val="24"/>
        </w:rPr>
        <w:t>deposits</w:t>
      </w:r>
      <w:r w:rsidR="00B37C92" w:rsidRPr="00A66575">
        <w:rPr>
          <w:szCs w:val="24"/>
        </w:rPr>
        <w:t xml:space="preserve"> </w:t>
      </w:r>
      <w:r w:rsidR="00F64E16" w:rsidRPr="00A66575">
        <w:rPr>
          <w:szCs w:val="24"/>
        </w:rPr>
        <w:t xml:space="preserve">have </w:t>
      </w:r>
      <w:r w:rsidR="00F64E16" w:rsidRPr="00B8012D">
        <w:rPr>
          <w:szCs w:val="24"/>
        </w:rPr>
        <w:t>nearly identical</w:t>
      </w:r>
      <w:r w:rsidR="00F64E16" w:rsidRPr="00A66575">
        <w:rPr>
          <w:szCs w:val="24"/>
        </w:rPr>
        <w:t xml:space="preserve"> calibrated </w:t>
      </w:r>
      <w:r w:rsidR="00B37C92">
        <w:rPr>
          <w:szCs w:val="24"/>
        </w:rPr>
        <w:t xml:space="preserve">age </w:t>
      </w:r>
      <w:r w:rsidR="00F64E16" w:rsidRPr="00A66575">
        <w:rPr>
          <w:szCs w:val="24"/>
        </w:rPr>
        <w:t xml:space="preserve">ranges, indicating that </w:t>
      </w:r>
      <w:r w:rsidR="00B37C92">
        <w:rPr>
          <w:szCs w:val="24"/>
        </w:rPr>
        <w:t>substantial</w:t>
      </w:r>
      <w:r w:rsidR="00B37C92" w:rsidRPr="00A66575">
        <w:rPr>
          <w:szCs w:val="24"/>
        </w:rPr>
        <w:t xml:space="preserve"> </w:t>
      </w:r>
      <w:r w:rsidR="00F64E16" w:rsidRPr="00A66575">
        <w:rPr>
          <w:szCs w:val="24"/>
        </w:rPr>
        <w:t xml:space="preserve">deposits </w:t>
      </w:r>
      <w:r w:rsidR="00F64E16">
        <w:rPr>
          <w:szCs w:val="24"/>
        </w:rPr>
        <w:t>built up</w:t>
      </w:r>
      <w:r w:rsidR="00F64E16" w:rsidRPr="00A66575">
        <w:rPr>
          <w:szCs w:val="24"/>
        </w:rPr>
        <w:t xml:space="preserve"> </w:t>
      </w:r>
      <w:r w:rsidR="00B37C92">
        <w:rPr>
          <w:szCs w:val="24"/>
        </w:rPr>
        <w:t xml:space="preserve">extremely </w:t>
      </w:r>
      <w:r w:rsidR="00F64E16" w:rsidRPr="00A66575">
        <w:rPr>
          <w:szCs w:val="24"/>
        </w:rPr>
        <w:t>rapidly</w:t>
      </w:r>
      <w:r w:rsidR="00B37C92">
        <w:rPr>
          <w:szCs w:val="24"/>
        </w:rPr>
        <w:t>.</w:t>
      </w:r>
      <w:r w:rsidR="00F64E16" w:rsidRPr="00A66575">
        <w:rPr>
          <w:szCs w:val="24"/>
        </w:rPr>
        <w:t xml:space="preserve"> </w:t>
      </w:r>
      <w:r w:rsidR="00F64E16">
        <w:rPr>
          <w:szCs w:val="24"/>
        </w:rPr>
        <w:t>At</w:t>
      </w:r>
      <w:r w:rsidR="00F64E16" w:rsidRPr="00A66575">
        <w:rPr>
          <w:szCs w:val="24"/>
        </w:rPr>
        <w:t xml:space="preserve"> GcTr-8</w:t>
      </w:r>
      <w:r w:rsidR="00724603">
        <w:rPr>
          <w:szCs w:val="24"/>
        </w:rPr>
        <w:t>,</w:t>
      </w:r>
      <w:r w:rsidR="00F64E16" w:rsidRPr="00A66575">
        <w:rPr>
          <w:szCs w:val="24"/>
        </w:rPr>
        <w:t xml:space="preserve"> </w:t>
      </w:r>
      <w:r w:rsidR="00B37C92">
        <w:rPr>
          <w:szCs w:val="24"/>
        </w:rPr>
        <w:t xml:space="preserve">bracketing </w:t>
      </w:r>
      <w:r w:rsidR="00F64E16" w:rsidRPr="00A66575">
        <w:rPr>
          <w:szCs w:val="24"/>
        </w:rPr>
        <w:t xml:space="preserve">dates from </w:t>
      </w:r>
      <w:r w:rsidR="00B37C92">
        <w:rPr>
          <w:szCs w:val="24"/>
        </w:rPr>
        <w:t>a</w:t>
      </w:r>
      <w:r w:rsidR="00B37C92" w:rsidRPr="00A66575">
        <w:rPr>
          <w:szCs w:val="24"/>
        </w:rPr>
        <w:t xml:space="preserve"> </w:t>
      </w:r>
      <w:r w:rsidR="00131D8F">
        <w:rPr>
          <w:szCs w:val="24"/>
        </w:rPr>
        <w:t>sediment</w:t>
      </w:r>
      <w:r>
        <w:rPr>
          <w:szCs w:val="24"/>
        </w:rPr>
        <w:t xml:space="preserve"> </w:t>
      </w:r>
      <w:r w:rsidR="00F64E16" w:rsidRPr="00A66575">
        <w:rPr>
          <w:szCs w:val="24"/>
        </w:rPr>
        <w:t xml:space="preserve">core produced calibrated ranges of </w:t>
      </w:r>
      <w:r w:rsidR="00F64E16">
        <w:rPr>
          <w:szCs w:val="24"/>
        </w:rPr>
        <w:t>ca. 2680 to 2140</w:t>
      </w:r>
      <w:r w:rsidR="00F64E16" w:rsidRPr="00A66575">
        <w:rPr>
          <w:szCs w:val="24"/>
        </w:rPr>
        <w:t xml:space="preserve"> </w:t>
      </w:r>
      <w:proofErr w:type="spellStart"/>
      <w:r w:rsidR="00F64E16" w:rsidRPr="00A66575">
        <w:rPr>
          <w:szCs w:val="24"/>
        </w:rPr>
        <w:t>cal</w:t>
      </w:r>
      <w:proofErr w:type="spellEnd"/>
      <w:r w:rsidR="00F64E16">
        <w:rPr>
          <w:szCs w:val="24"/>
        </w:rPr>
        <w:t xml:space="preserve"> </w:t>
      </w:r>
      <w:proofErr w:type="spellStart"/>
      <w:r w:rsidR="00F64E16">
        <w:rPr>
          <w:szCs w:val="24"/>
        </w:rPr>
        <w:t>yr</w:t>
      </w:r>
      <w:proofErr w:type="spellEnd"/>
      <w:r w:rsidR="00F64E16" w:rsidRPr="00A66575">
        <w:rPr>
          <w:szCs w:val="24"/>
        </w:rPr>
        <w:t xml:space="preserve"> BP above and below </w:t>
      </w:r>
      <w:r w:rsidR="00F64E16">
        <w:rPr>
          <w:szCs w:val="24"/>
        </w:rPr>
        <w:t>six metres</w:t>
      </w:r>
      <w:r w:rsidR="00F64E16" w:rsidRPr="00A66575">
        <w:rPr>
          <w:szCs w:val="24"/>
        </w:rPr>
        <w:t xml:space="preserve"> of deposit. </w:t>
      </w:r>
      <w:r w:rsidR="00B37C92">
        <w:rPr>
          <w:szCs w:val="24"/>
        </w:rPr>
        <w:t>Two</w:t>
      </w:r>
      <w:r w:rsidR="00B37C92" w:rsidRPr="00A66575">
        <w:rPr>
          <w:szCs w:val="24"/>
        </w:rPr>
        <w:t xml:space="preserve"> </w:t>
      </w:r>
      <w:r w:rsidR="00F64E16" w:rsidRPr="00A66575">
        <w:rPr>
          <w:szCs w:val="24"/>
        </w:rPr>
        <w:t>date</w:t>
      </w:r>
      <w:r w:rsidR="00B37C92">
        <w:rPr>
          <w:szCs w:val="24"/>
        </w:rPr>
        <w:t>s</w:t>
      </w:r>
      <w:r w:rsidR="00F64E16" w:rsidRPr="00A66575">
        <w:rPr>
          <w:szCs w:val="24"/>
        </w:rPr>
        <w:t xml:space="preserve"> from </w:t>
      </w:r>
      <w:r w:rsidR="00B37C92">
        <w:rPr>
          <w:szCs w:val="24"/>
        </w:rPr>
        <w:t>the base and top of a</w:t>
      </w:r>
      <w:r w:rsidR="00F64E16" w:rsidRPr="00A66575">
        <w:rPr>
          <w:szCs w:val="24"/>
        </w:rPr>
        <w:t xml:space="preserve"> terrace near the back of GcTq-6 have ranges </w:t>
      </w:r>
      <w:r w:rsidR="00B37C92">
        <w:rPr>
          <w:szCs w:val="24"/>
        </w:rPr>
        <w:t>from</w:t>
      </w:r>
      <w:r w:rsidR="00F64E16" w:rsidRPr="00A66575">
        <w:rPr>
          <w:szCs w:val="24"/>
        </w:rPr>
        <w:t xml:space="preserve"> </w:t>
      </w:r>
      <w:r w:rsidR="00F64E16">
        <w:rPr>
          <w:szCs w:val="24"/>
        </w:rPr>
        <w:t>1800 to 1400</w:t>
      </w:r>
      <w:r w:rsidR="00F64E16" w:rsidRPr="00A66575">
        <w:rPr>
          <w:szCs w:val="24"/>
        </w:rPr>
        <w:t xml:space="preserve"> </w:t>
      </w:r>
      <w:proofErr w:type="spellStart"/>
      <w:r w:rsidR="00F64E16" w:rsidRPr="00A66575">
        <w:rPr>
          <w:szCs w:val="24"/>
        </w:rPr>
        <w:t>cal</w:t>
      </w:r>
      <w:proofErr w:type="spellEnd"/>
      <w:r w:rsidR="00F64E16">
        <w:rPr>
          <w:szCs w:val="24"/>
        </w:rPr>
        <w:t xml:space="preserve"> </w:t>
      </w:r>
      <w:proofErr w:type="spellStart"/>
      <w:r w:rsidR="00F64E16">
        <w:rPr>
          <w:szCs w:val="24"/>
        </w:rPr>
        <w:t>yr</w:t>
      </w:r>
      <w:proofErr w:type="spellEnd"/>
      <w:r w:rsidR="00F64E16" w:rsidRPr="00A66575">
        <w:rPr>
          <w:szCs w:val="24"/>
        </w:rPr>
        <w:t xml:space="preserve"> BP</w:t>
      </w:r>
      <w:r w:rsidR="00F64E16">
        <w:rPr>
          <w:szCs w:val="24"/>
        </w:rPr>
        <w:t xml:space="preserve"> </w:t>
      </w:r>
      <w:r w:rsidR="00B37C92">
        <w:rPr>
          <w:szCs w:val="24"/>
        </w:rPr>
        <w:t>representing</w:t>
      </w:r>
      <w:r>
        <w:rPr>
          <w:szCs w:val="24"/>
        </w:rPr>
        <w:t xml:space="preserve"> two met</w:t>
      </w:r>
      <w:r w:rsidR="00F64E16">
        <w:rPr>
          <w:szCs w:val="24"/>
        </w:rPr>
        <w:t>re</w:t>
      </w:r>
      <w:r>
        <w:rPr>
          <w:szCs w:val="24"/>
        </w:rPr>
        <w:t>s</w:t>
      </w:r>
      <w:r w:rsidR="00F64E16" w:rsidRPr="00A66575">
        <w:rPr>
          <w:szCs w:val="24"/>
        </w:rPr>
        <w:t xml:space="preserve"> of depos</w:t>
      </w:r>
      <w:r w:rsidR="00B37C92">
        <w:rPr>
          <w:szCs w:val="24"/>
        </w:rPr>
        <w:t>ition within a short time</w:t>
      </w:r>
      <w:r w:rsidR="00F64E16" w:rsidRPr="00A66575">
        <w:rPr>
          <w:szCs w:val="24"/>
        </w:rPr>
        <w:t>. Stein et al. (2003) have demonstrated that many shell-bearing sites with deep deposits on the San Juan Islands were deposited rapidly and punctuated by periods of abandonment and reoccupation, rather than by a long-term cons</w:t>
      </w:r>
      <w:r w:rsidR="00F64E16">
        <w:rPr>
          <w:szCs w:val="24"/>
        </w:rPr>
        <w:t xml:space="preserve">istent occupation. In these cases on the Dundas Islands, these rapidly accumulated deposits may be areas where shell was consciously deposited in high concentrations to build up landforms and terraces upon which to build houses (see also </w:t>
      </w:r>
      <w:proofErr w:type="spellStart"/>
      <w:r w:rsidR="00F64E16">
        <w:rPr>
          <w:szCs w:val="24"/>
        </w:rPr>
        <w:t>Blukis</w:t>
      </w:r>
      <w:proofErr w:type="spellEnd"/>
      <w:r w:rsidR="00F64E16">
        <w:rPr>
          <w:szCs w:val="24"/>
        </w:rPr>
        <w:t xml:space="preserve"> </w:t>
      </w:r>
      <w:proofErr w:type="spellStart"/>
      <w:r w:rsidR="00F64E16">
        <w:rPr>
          <w:szCs w:val="24"/>
        </w:rPr>
        <w:t>Onat</w:t>
      </w:r>
      <w:proofErr w:type="spellEnd"/>
      <w:r w:rsidR="00F64E16">
        <w:rPr>
          <w:szCs w:val="24"/>
        </w:rPr>
        <w:t xml:space="preserve"> 1985; </w:t>
      </w:r>
      <w:proofErr w:type="spellStart"/>
      <w:r w:rsidR="00F64E16">
        <w:rPr>
          <w:szCs w:val="24"/>
        </w:rPr>
        <w:t>Claassen</w:t>
      </w:r>
      <w:proofErr w:type="spellEnd"/>
      <w:r w:rsidR="00F64E16">
        <w:rPr>
          <w:szCs w:val="24"/>
        </w:rPr>
        <w:t xml:space="preserve"> 1991).</w:t>
      </w:r>
      <w:r w:rsidR="00E86B53">
        <w:rPr>
          <w:szCs w:val="24"/>
        </w:rPr>
        <w:t xml:space="preserve"> </w:t>
      </w:r>
    </w:p>
    <w:p w14:paraId="23FC953B" w14:textId="56165DF4" w:rsidR="009F5626" w:rsidRPr="00A66575" w:rsidRDefault="003157F3" w:rsidP="00EA6A07">
      <w:pPr>
        <w:spacing w:after="0" w:line="480" w:lineRule="auto"/>
        <w:ind w:firstLine="720"/>
        <w:rPr>
          <w:szCs w:val="24"/>
        </w:rPr>
      </w:pPr>
      <w:r>
        <w:rPr>
          <w:szCs w:val="24"/>
        </w:rPr>
        <w:t>Even though we cannot state with confidence when specific large village types were first constructed</w:t>
      </w:r>
      <w:r w:rsidR="000F4FDC">
        <w:rPr>
          <w:szCs w:val="24"/>
        </w:rPr>
        <w:t xml:space="preserve">, </w:t>
      </w:r>
      <w:r w:rsidR="00236DDF" w:rsidRPr="006D1EBF">
        <w:rPr>
          <w:szCs w:val="24"/>
        </w:rPr>
        <w:t xml:space="preserve">a summed probability plot </w:t>
      </w:r>
      <w:r w:rsidR="00E112E0">
        <w:rPr>
          <w:szCs w:val="24"/>
        </w:rPr>
        <w:t>including</w:t>
      </w:r>
      <w:r w:rsidR="00E112E0" w:rsidRPr="006D1EBF">
        <w:rPr>
          <w:szCs w:val="24"/>
        </w:rPr>
        <w:t xml:space="preserve"> </w:t>
      </w:r>
      <w:r w:rsidR="00236DDF" w:rsidRPr="006D1EBF">
        <w:rPr>
          <w:szCs w:val="24"/>
        </w:rPr>
        <w:t xml:space="preserve">all </w:t>
      </w:r>
      <w:r w:rsidR="00710A86">
        <w:rPr>
          <w:szCs w:val="24"/>
        </w:rPr>
        <w:t xml:space="preserve">calibrated </w:t>
      </w:r>
      <w:r w:rsidR="00236DDF" w:rsidRPr="006D1EBF">
        <w:rPr>
          <w:szCs w:val="24"/>
        </w:rPr>
        <w:t xml:space="preserve">radiocarbon </w:t>
      </w:r>
      <w:r w:rsidR="00710A86">
        <w:rPr>
          <w:szCs w:val="24"/>
        </w:rPr>
        <w:t>ages</w:t>
      </w:r>
      <w:r w:rsidR="00710A86" w:rsidRPr="006D1EBF">
        <w:rPr>
          <w:szCs w:val="24"/>
        </w:rPr>
        <w:t xml:space="preserve"> </w:t>
      </w:r>
      <w:r w:rsidR="00E112E0">
        <w:rPr>
          <w:szCs w:val="24"/>
        </w:rPr>
        <w:t xml:space="preserve">on cultural deposits </w:t>
      </w:r>
      <w:r w:rsidR="00236DDF" w:rsidRPr="006D1EBF">
        <w:rPr>
          <w:szCs w:val="24"/>
        </w:rPr>
        <w:t xml:space="preserve">from the region suggests that </w:t>
      </w:r>
      <w:r w:rsidR="0023582A" w:rsidRPr="006D1EBF">
        <w:rPr>
          <w:szCs w:val="24"/>
        </w:rPr>
        <w:t>a</w:t>
      </w:r>
      <w:r w:rsidR="00236DDF" w:rsidRPr="006D1EBF">
        <w:rPr>
          <w:szCs w:val="24"/>
        </w:rPr>
        <w:t xml:space="preserve"> major population expansion </w:t>
      </w:r>
      <w:r w:rsidR="00B00993" w:rsidRPr="00D66346">
        <w:rPr>
          <w:szCs w:val="24"/>
        </w:rPr>
        <w:t xml:space="preserve">may have </w:t>
      </w:r>
      <w:r w:rsidR="00236DDF" w:rsidRPr="00D66346">
        <w:rPr>
          <w:szCs w:val="24"/>
        </w:rPr>
        <w:t>occurred</w:t>
      </w:r>
      <w:r w:rsidR="00236DDF" w:rsidRPr="006D1EBF">
        <w:rPr>
          <w:szCs w:val="24"/>
        </w:rPr>
        <w:t xml:space="preserve"> </w:t>
      </w:r>
      <w:r w:rsidR="00DF3483" w:rsidRPr="006D1EBF">
        <w:rPr>
          <w:szCs w:val="24"/>
        </w:rPr>
        <w:t xml:space="preserve">around </w:t>
      </w:r>
      <w:r w:rsidR="00DF3483" w:rsidRPr="006D1EBF">
        <w:rPr>
          <w:szCs w:val="24"/>
        </w:rPr>
        <w:lastRenderedPageBreak/>
        <w:t>3000</w:t>
      </w:r>
      <w:r w:rsidR="0023582A" w:rsidRPr="006D1EBF">
        <w:rPr>
          <w:szCs w:val="24"/>
        </w:rPr>
        <w:t xml:space="preserve"> </w:t>
      </w:r>
      <w:proofErr w:type="spellStart"/>
      <w:r w:rsidR="0023582A" w:rsidRPr="006D1EBF">
        <w:rPr>
          <w:szCs w:val="24"/>
        </w:rPr>
        <w:t>cal</w:t>
      </w:r>
      <w:proofErr w:type="spellEnd"/>
      <w:r w:rsidR="00C04537">
        <w:rPr>
          <w:szCs w:val="24"/>
        </w:rPr>
        <w:t xml:space="preserve"> </w:t>
      </w:r>
      <w:proofErr w:type="spellStart"/>
      <w:r w:rsidR="00C04537">
        <w:rPr>
          <w:szCs w:val="24"/>
        </w:rPr>
        <w:t>yr</w:t>
      </w:r>
      <w:proofErr w:type="spellEnd"/>
      <w:r w:rsidR="00207D95" w:rsidRPr="006D1EBF">
        <w:rPr>
          <w:szCs w:val="24"/>
        </w:rPr>
        <w:t xml:space="preserve"> BP</w:t>
      </w:r>
      <w:r w:rsidR="00AF4367">
        <w:rPr>
          <w:rStyle w:val="FootnoteReference"/>
          <w:szCs w:val="24"/>
        </w:rPr>
        <w:footnoteReference w:id="9"/>
      </w:r>
      <w:r w:rsidR="00207D95" w:rsidRPr="006D1EBF">
        <w:rPr>
          <w:szCs w:val="24"/>
        </w:rPr>
        <w:t xml:space="preserve"> (</w:t>
      </w:r>
      <w:r w:rsidR="00645074" w:rsidRPr="00B8012D">
        <w:rPr>
          <w:szCs w:val="24"/>
        </w:rPr>
        <w:t>Figure 7</w:t>
      </w:r>
      <w:r w:rsidR="00207D95" w:rsidRPr="006D1EBF">
        <w:rPr>
          <w:szCs w:val="24"/>
        </w:rPr>
        <w:t>).</w:t>
      </w:r>
      <w:r w:rsidR="00207D95">
        <w:rPr>
          <w:szCs w:val="24"/>
        </w:rPr>
        <w:t xml:space="preserve"> </w:t>
      </w:r>
      <w:r w:rsidR="00C46CFA">
        <w:rPr>
          <w:szCs w:val="24"/>
        </w:rPr>
        <w:t xml:space="preserve">Summed probability plots are </w:t>
      </w:r>
      <w:r w:rsidR="00C46CFA">
        <w:t>constructed by plotting the probability ranges of calibrated dates along a time-scale and summing together all overlapping probability distributions</w:t>
      </w:r>
      <w:r w:rsidR="00C46CFA">
        <w:rPr>
          <w:szCs w:val="24"/>
        </w:rPr>
        <w:t>;</w:t>
      </w:r>
      <w:r w:rsidR="00C46CFA" w:rsidRPr="00AF7ECD">
        <w:t xml:space="preserve"> </w:t>
      </w:r>
      <w:r w:rsidR="00C46CFA">
        <w:t xml:space="preserve">the logic of using these as a population proxy is based on the assumption that more people leave more dateable material in the archaeological record (Collard et al. 2010; </w:t>
      </w:r>
      <w:proofErr w:type="spellStart"/>
      <w:r w:rsidR="005E140B">
        <w:t>Shennan</w:t>
      </w:r>
      <w:proofErr w:type="spellEnd"/>
      <w:r w:rsidR="005E140B">
        <w:t xml:space="preserve"> and </w:t>
      </w:r>
      <w:proofErr w:type="spellStart"/>
      <w:r w:rsidR="005E140B">
        <w:t>Edinborough</w:t>
      </w:r>
      <w:proofErr w:type="spellEnd"/>
      <w:r w:rsidR="005E140B">
        <w:t xml:space="preserve"> 2007; </w:t>
      </w:r>
      <w:r w:rsidR="00C46CFA">
        <w:t>Rick 1987).</w:t>
      </w:r>
      <w:r w:rsidR="00C46CFA">
        <w:rPr>
          <w:szCs w:val="24"/>
        </w:rPr>
        <w:t xml:space="preserve"> Peaks within these plots indicate higher frequencies of radiocarbon dates for a given time-period</w:t>
      </w:r>
      <w:r w:rsidR="00724603">
        <w:rPr>
          <w:szCs w:val="24"/>
        </w:rPr>
        <w:t>,</w:t>
      </w:r>
      <w:r w:rsidR="00C46CFA">
        <w:rPr>
          <w:szCs w:val="24"/>
        </w:rPr>
        <w:t xml:space="preserve"> and thus </w:t>
      </w:r>
      <w:r w:rsidR="002D02B3">
        <w:rPr>
          <w:szCs w:val="24"/>
        </w:rPr>
        <w:t xml:space="preserve">potentially </w:t>
      </w:r>
      <w:r w:rsidR="00C46CFA">
        <w:rPr>
          <w:szCs w:val="24"/>
        </w:rPr>
        <w:t>larger populations</w:t>
      </w:r>
      <w:r w:rsidR="00710A86">
        <w:rPr>
          <w:szCs w:val="24"/>
        </w:rPr>
        <w:t xml:space="preserve"> or more intensive periods of settlement</w:t>
      </w:r>
      <w:r w:rsidR="00C46CFA">
        <w:rPr>
          <w:szCs w:val="24"/>
        </w:rPr>
        <w:t>. Although calibration</w:t>
      </w:r>
      <w:r w:rsidR="00196049">
        <w:rPr>
          <w:szCs w:val="24"/>
        </w:rPr>
        <w:t xml:space="preserve"> </w:t>
      </w:r>
      <w:r w:rsidR="00C46CFA">
        <w:rPr>
          <w:szCs w:val="24"/>
        </w:rPr>
        <w:t>and taphonomic effects can cause spurious patterns in these plots</w:t>
      </w:r>
      <w:r w:rsidR="00F64E16">
        <w:rPr>
          <w:szCs w:val="24"/>
        </w:rPr>
        <w:t xml:space="preserve"> </w:t>
      </w:r>
      <w:r w:rsidR="005E140B">
        <w:rPr>
          <w:szCs w:val="24"/>
        </w:rPr>
        <w:t>(</w:t>
      </w:r>
      <w:proofErr w:type="spellStart"/>
      <w:r w:rsidR="005E140B">
        <w:rPr>
          <w:szCs w:val="24"/>
        </w:rPr>
        <w:t>Surovell</w:t>
      </w:r>
      <w:proofErr w:type="spellEnd"/>
      <w:r w:rsidR="005E140B">
        <w:rPr>
          <w:szCs w:val="24"/>
        </w:rPr>
        <w:t xml:space="preserve"> and </w:t>
      </w:r>
      <w:proofErr w:type="spellStart"/>
      <w:r w:rsidR="005E140B">
        <w:rPr>
          <w:szCs w:val="24"/>
        </w:rPr>
        <w:t>Brantingham</w:t>
      </w:r>
      <w:proofErr w:type="spellEnd"/>
      <w:r w:rsidR="005E140B">
        <w:rPr>
          <w:szCs w:val="24"/>
        </w:rPr>
        <w:t xml:space="preserve"> 2007; </w:t>
      </w:r>
      <w:proofErr w:type="spellStart"/>
      <w:r w:rsidR="005E140B">
        <w:rPr>
          <w:szCs w:val="24"/>
        </w:rPr>
        <w:t>Surovell</w:t>
      </w:r>
      <w:proofErr w:type="spellEnd"/>
      <w:r w:rsidR="005E140B">
        <w:rPr>
          <w:szCs w:val="24"/>
        </w:rPr>
        <w:t xml:space="preserve"> et al. 2009)</w:t>
      </w:r>
      <w:r w:rsidR="00C46CFA">
        <w:rPr>
          <w:szCs w:val="24"/>
        </w:rPr>
        <w:t>,</w:t>
      </w:r>
      <w:r w:rsidR="002D02B3">
        <w:rPr>
          <w:szCs w:val="24"/>
        </w:rPr>
        <w:t xml:space="preserve"> this method provides some evidence for demographic trends</w:t>
      </w:r>
      <w:r w:rsidR="00710A86">
        <w:rPr>
          <w:szCs w:val="24"/>
        </w:rPr>
        <w:t xml:space="preserve"> in settlement</w:t>
      </w:r>
      <w:r w:rsidR="002D02B3">
        <w:rPr>
          <w:szCs w:val="24"/>
        </w:rPr>
        <w:t xml:space="preserve">. </w:t>
      </w:r>
      <w:r w:rsidR="00710A86">
        <w:rPr>
          <w:szCs w:val="24"/>
        </w:rPr>
        <w:t xml:space="preserve">Interpretations from </w:t>
      </w:r>
      <w:r w:rsidR="002D02B3">
        <w:rPr>
          <w:szCs w:val="24"/>
        </w:rPr>
        <w:t>summed probability correlations are strongest with large sample sizes and where calibration effects are modest</w:t>
      </w:r>
      <w:r w:rsidR="00C46CFA">
        <w:rPr>
          <w:szCs w:val="24"/>
        </w:rPr>
        <w:t xml:space="preserve"> (</w:t>
      </w:r>
      <w:r w:rsidR="000543A5">
        <w:rPr>
          <w:szCs w:val="24"/>
        </w:rPr>
        <w:t xml:space="preserve">e.g., </w:t>
      </w:r>
      <w:proofErr w:type="spellStart"/>
      <w:r w:rsidR="00C46CFA">
        <w:rPr>
          <w:szCs w:val="24"/>
        </w:rPr>
        <w:t>Peros</w:t>
      </w:r>
      <w:proofErr w:type="spellEnd"/>
      <w:r w:rsidR="00C46CFA">
        <w:rPr>
          <w:szCs w:val="24"/>
        </w:rPr>
        <w:t xml:space="preserve"> et al. 2011). </w:t>
      </w:r>
      <w:r w:rsidR="0065613E">
        <w:rPr>
          <w:szCs w:val="24"/>
        </w:rPr>
        <w:t xml:space="preserve">Despite its limitations, summed probability provides some evidence of trends </w:t>
      </w:r>
      <w:r w:rsidR="00710A86">
        <w:rPr>
          <w:szCs w:val="24"/>
        </w:rPr>
        <w:t xml:space="preserve">in settlement </w:t>
      </w:r>
      <w:r w:rsidR="0065613E">
        <w:rPr>
          <w:szCs w:val="24"/>
        </w:rPr>
        <w:t xml:space="preserve">that may be associated with the development of new site types. </w:t>
      </w:r>
      <w:r w:rsidR="00207D95">
        <w:rPr>
          <w:szCs w:val="24"/>
        </w:rPr>
        <w:t xml:space="preserve">The </w:t>
      </w:r>
      <w:r w:rsidR="000543A5">
        <w:rPr>
          <w:szCs w:val="24"/>
        </w:rPr>
        <w:t xml:space="preserve">peak </w:t>
      </w:r>
      <w:r w:rsidR="00207D95">
        <w:rPr>
          <w:szCs w:val="24"/>
        </w:rPr>
        <w:t xml:space="preserve">in </w:t>
      </w:r>
      <w:r w:rsidR="00207D95" w:rsidRPr="00050F20">
        <w:rPr>
          <w:szCs w:val="24"/>
        </w:rPr>
        <w:t xml:space="preserve">Figure </w:t>
      </w:r>
      <w:r w:rsidR="00D66346" w:rsidRPr="00050F20">
        <w:rPr>
          <w:szCs w:val="24"/>
        </w:rPr>
        <w:t>7</w:t>
      </w:r>
      <w:r w:rsidR="00207D95">
        <w:rPr>
          <w:szCs w:val="24"/>
        </w:rPr>
        <w:t xml:space="preserve"> </w:t>
      </w:r>
      <w:r w:rsidR="006D1EBF">
        <w:rPr>
          <w:szCs w:val="24"/>
        </w:rPr>
        <w:t xml:space="preserve">around </w:t>
      </w:r>
      <w:r w:rsidR="00207D95">
        <w:rPr>
          <w:szCs w:val="24"/>
        </w:rPr>
        <w:t xml:space="preserve">3000 </w:t>
      </w:r>
      <w:proofErr w:type="spellStart"/>
      <w:r w:rsidR="00207D95">
        <w:rPr>
          <w:szCs w:val="24"/>
        </w:rPr>
        <w:t>cal</w:t>
      </w:r>
      <w:proofErr w:type="spellEnd"/>
      <w:r w:rsidR="00C04537">
        <w:rPr>
          <w:szCs w:val="24"/>
        </w:rPr>
        <w:t xml:space="preserve"> </w:t>
      </w:r>
      <w:proofErr w:type="spellStart"/>
      <w:r w:rsidR="00C04537">
        <w:rPr>
          <w:szCs w:val="24"/>
        </w:rPr>
        <w:t>yr</w:t>
      </w:r>
      <w:proofErr w:type="spellEnd"/>
      <w:r w:rsidR="00207D95">
        <w:rPr>
          <w:szCs w:val="24"/>
        </w:rPr>
        <w:t xml:space="preserve"> BP appears to be a result of more site components, hence </w:t>
      </w:r>
      <w:r w:rsidR="0048602D">
        <w:rPr>
          <w:szCs w:val="24"/>
        </w:rPr>
        <w:t xml:space="preserve">a </w:t>
      </w:r>
      <w:r w:rsidR="000543A5">
        <w:rPr>
          <w:szCs w:val="24"/>
        </w:rPr>
        <w:t xml:space="preserve">higher population </w:t>
      </w:r>
      <w:r w:rsidR="00710A86">
        <w:rPr>
          <w:szCs w:val="24"/>
        </w:rPr>
        <w:t>associated</w:t>
      </w:r>
      <w:r w:rsidR="00207D95">
        <w:rPr>
          <w:szCs w:val="24"/>
        </w:rPr>
        <w:t xml:space="preserve"> with the appearance of large villages. Thus we can hypothesize, but not test, a correlation between the two.</w:t>
      </w:r>
      <w:r w:rsidR="00A45776">
        <w:rPr>
          <w:szCs w:val="24"/>
        </w:rPr>
        <w:t xml:space="preserve"> The steep trough around 2000 </w:t>
      </w:r>
      <w:proofErr w:type="spellStart"/>
      <w:r w:rsidR="00A45776">
        <w:rPr>
          <w:szCs w:val="24"/>
        </w:rPr>
        <w:t>cal</w:t>
      </w:r>
      <w:proofErr w:type="spellEnd"/>
      <w:r w:rsidR="00A45776">
        <w:rPr>
          <w:szCs w:val="24"/>
        </w:rPr>
        <w:t xml:space="preserve"> </w:t>
      </w:r>
      <w:proofErr w:type="spellStart"/>
      <w:r w:rsidR="00A45776">
        <w:rPr>
          <w:szCs w:val="24"/>
        </w:rPr>
        <w:t>yr</w:t>
      </w:r>
      <w:proofErr w:type="spellEnd"/>
      <w:r w:rsidR="00A45776">
        <w:rPr>
          <w:szCs w:val="24"/>
        </w:rPr>
        <w:t xml:space="preserve"> BP is likely a consequence of our focus on basal and terminal dates rather than a demographic trend</w:t>
      </w:r>
      <w:r w:rsidR="005A358F">
        <w:rPr>
          <w:szCs w:val="24"/>
        </w:rPr>
        <w:t>,</w:t>
      </w:r>
      <w:r w:rsidR="00196049">
        <w:rPr>
          <w:szCs w:val="24"/>
        </w:rPr>
        <w:t xml:space="preserve"> demonstrating that sampling biases can also affect the shape of the resulting curve</w:t>
      </w:r>
      <w:r w:rsidR="00A45776">
        <w:rPr>
          <w:szCs w:val="24"/>
        </w:rPr>
        <w:t>.</w:t>
      </w:r>
    </w:p>
    <w:p w14:paraId="2BF5C40A" w14:textId="77777777" w:rsidR="009F5626" w:rsidRDefault="007C2E11" w:rsidP="005E1E4C">
      <w:pPr>
        <w:spacing w:after="0" w:line="480" w:lineRule="auto"/>
        <w:ind w:firstLine="720"/>
        <w:rPr>
          <w:b/>
          <w:szCs w:val="24"/>
        </w:rPr>
      </w:pPr>
      <w:r>
        <w:rPr>
          <w:szCs w:val="24"/>
        </w:rPr>
        <w:t xml:space="preserve">Despite the challenges of tracking the mode and tempo of site developments, </w:t>
      </w:r>
      <w:r w:rsidR="009F5626" w:rsidRPr="00A66575">
        <w:rPr>
          <w:szCs w:val="24"/>
        </w:rPr>
        <w:t xml:space="preserve">we can say </w:t>
      </w:r>
      <w:r w:rsidR="009F5626" w:rsidRPr="00132379">
        <w:rPr>
          <w:szCs w:val="24"/>
        </w:rPr>
        <w:t>with some confidence</w:t>
      </w:r>
      <w:r w:rsidR="00196049">
        <w:rPr>
          <w:szCs w:val="24"/>
        </w:rPr>
        <w:t xml:space="preserve"> that villages with multiple structures</w:t>
      </w:r>
      <w:r w:rsidR="009F5626" w:rsidRPr="00A66575">
        <w:rPr>
          <w:szCs w:val="24"/>
        </w:rPr>
        <w:t xml:space="preserve"> existed on the Dundas Islands</w:t>
      </w:r>
      <w:r w:rsidR="00281ABF">
        <w:rPr>
          <w:szCs w:val="24"/>
        </w:rPr>
        <w:t xml:space="preserve"> </w:t>
      </w:r>
      <w:r w:rsidR="009F5626" w:rsidRPr="00A66575">
        <w:rPr>
          <w:szCs w:val="24"/>
        </w:rPr>
        <w:t xml:space="preserve">before 5000 </w:t>
      </w:r>
      <w:proofErr w:type="spellStart"/>
      <w:r w:rsidR="009F5626" w:rsidRPr="00A66575">
        <w:rPr>
          <w:szCs w:val="24"/>
        </w:rPr>
        <w:t>cal</w:t>
      </w:r>
      <w:proofErr w:type="spellEnd"/>
      <w:r w:rsidR="00D16270">
        <w:rPr>
          <w:szCs w:val="24"/>
        </w:rPr>
        <w:t xml:space="preserve"> </w:t>
      </w:r>
      <w:proofErr w:type="spellStart"/>
      <w:r w:rsidR="00D16270">
        <w:rPr>
          <w:szCs w:val="24"/>
        </w:rPr>
        <w:t>yr</w:t>
      </w:r>
      <w:proofErr w:type="spellEnd"/>
      <w:r w:rsidR="00196049">
        <w:rPr>
          <w:szCs w:val="24"/>
        </w:rPr>
        <w:t xml:space="preserve"> BP.  L</w:t>
      </w:r>
      <w:r w:rsidR="009F5626" w:rsidRPr="00A66575">
        <w:rPr>
          <w:szCs w:val="24"/>
        </w:rPr>
        <w:t>arge</w:t>
      </w:r>
      <w:r w:rsidR="00196049">
        <w:rPr>
          <w:szCs w:val="24"/>
        </w:rPr>
        <w:t>r</w:t>
      </w:r>
      <w:r w:rsidR="009F5626" w:rsidRPr="00A66575">
        <w:rPr>
          <w:szCs w:val="24"/>
        </w:rPr>
        <w:t xml:space="preserve"> villages with many houses of different sizes appeared over the following </w:t>
      </w:r>
      <w:r w:rsidR="009F5626" w:rsidRPr="00A66575">
        <w:rPr>
          <w:szCs w:val="24"/>
        </w:rPr>
        <w:lastRenderedPageBreak/>
        <w:t xml:space="preserve">several millennia. </w:t>
      </w:r>
      <w:r w:rsidR="003157F3">
        <w:rPr>
          <w:szCs w:val="24"/>
        </w:rPr>
        <w:t xml:space="preserve">We suggest that the demographic expansion around 3000 </w:t>
      </w:r>
      <w:proofErr w:type="spellStart"/>
      <w:r w:rsidR="003157F3">
        <w:rPr>
          <w:szCs w:val="24"/>
        </w:rPr>
        <w:t>cal</w:t>
      </w:r>
      <w:proofErr w:type="spellEnd"/>
      <w:r w:rsidR="003157F3">
        <w:rPr>
          <w:szCs w:val="24"/>
        </w:rPr>
        <w:t xml:space="preserve"> </w:t>
      </w:r>
      <w:proofErr w:type="spellStart"/>
      <w:r w:rsidR="003157F3">
        <w:rPr>
          <w:szCs w:val="24"/>
        </w:rPr>
        <w:t>yr</w:t>
      </w:r>
      <w:proofErr w:type="spellEnd"/>
      <w:r w:rsidR="003157F3">
        <w:rPr>
          <w:szCs w:val="24"/>
        </w:rPr>
        <w:t xml:space="preserve"> BP suggested by the summed probability plot of our dates coincides with a proliferation of large </w:t>
      </w:r>
      <w:r w:rsidR="00D9733F">
        <w:rPr>
          <w:szCs w:val="24"/>
        </w:rPr>
        <w:t>villages with different architectural layouts</w:t>
      </w:r>
      <w:r w:rsidR="003157F3">
        <w:rPr>
          <w:szCs w:val="24"/>
        </w:rPr>
        <w:t xml:space="preserve"> </w:t>
      </w:r>
      <w:r w:rsidR="00A45776">
        <w:rPr>
          <w:szCs w:val="24"/>
        </w:rPr>
        <w:t>(</w:t>
      </w:r>
      <w:r w:rsidR="00A45776" w:rsidRPr="00050F20">
        <w:rPr>
          <w:szCs w:val="24"/>
        </w:rPr>
        <w:t xml:space="preserve">Figure </w:t>
      </w:r>
      <w:r w:rsidR="00B47681">
        <w:rPr>
          <w:szCs w:val="24"/>
        </w:rPr>
        <w:t>7</w:t>
      </w:r>
      <w:r w:rsidR="00A45776">
        <w:rPr>
          <w:szCs w:val="24"/>
        </w:rPr>
        <w:t>)</w:t>
      </w:r>
      <w:r w:rsidR="00281ABF">
        <w:rPr>
          <w:szCs w:val="24"/>
        </w:rPr>
        <w:t>.</w:t>
      </w:r>
      <w:r w:rsidR="009F5626" w:rsidRPr="00A66575">
        <w:rPr>
          <w:szCs w:val="24"/>
        </w:rPr>
        <w:t xml:space="preserve"> </w:t>
      </w:r>
      <w:r w:rsidR="00281ABF">
        <w:rPr>
          <w:szCs w:val="24"/>
        </w:rPr>
        <w:t>The</w:t>
      </w:r>
      <w:r w:rsidR="009F5626" w:rsidRPr="00A66575">
        <w:rPr>
          <w:szCs w:val="24"/>
          <w:lang w:val="en-GB"/>
        </w:rPr>
        <w:t xml:space="preserve"> terminal dates from the villages suggest that the patterns that characterize their most recent occupation – as evidenced in the surface topography – were in place by </w:t>
      </w:r>
      <w:r w:rsidR="00A45776">
        <w:rPr>
          <w:szCs w:val="24"/>
          <w:lang w:val="en-GB"/>
        </w:rPr>
        <w:t>about</w:t>
      </w:r>
      <w:r w:rsidR="009F5626" w:rsidRPr="00A66575">
        <w:rPr>
          <w:szCs w:val="24"/>
          <w:lang w:val="en-GB"/>
        </w:rPr>
        <w:t xml:space="preserve"> 2000 </w:t>
      </w:r>
      <w:proofErr w:type="spellStart"/>
      <w:r w:rsidR="009F5626" w:rsidRPr="00A66575">
        <w:rPr>
          <w:szCs w:val="24"/>
          <w:lang w:val="en-GB"/>
        </w:rPr>
        <w:t>cal</w:t>
      </w:r>
      <w:proofErr w:type="spellEnd"/>
      <w:r w:rsidR="00D16270">
        <w:rPr>
          <w:szCs w:val="24"/>
          <w:lang w:val="en-GB"/>
        </w:rPr>
        <w:t xml:space="preserve"> </w:t>
      </w:r>
      <w:proofErr w:type="spellStart"/>
      <w:r w:rsidR="00D16270">
        <w:rPr>
          <w:szCs w:val="24"/>
          <w:lang w:val="en-GB"/>
        </w:rPr>
        <w:t>yr</w:t>
      </w:r>
      <w:proofErr w:type="spellEnd"/>
      <w:r w:rsidR="009F5626" w:rsidRPr="00A66575">
        <w:rPr>
          <w:szCs w:val="24"/>
          <w:lang w:val="en-GB"/>
        </w:rPr>
        <w:t xml:space="preserve"> BP (</w:t>
      </w:r>
      <w:r w:rsidR="009F5626" w:rsidRPr="00050F20">
        <w:rPr>
          <w:szCs w:val="24"/>
          <w:lang w:val="en-GB"/>
        </w:rPr>
        <w:t xml:space="preserve">Figure </w:t>
      </w:r>
      <w:r w:rsidR="00B47681" w:rsidRPr="00050F20">
        <w:rPr>
          <w:szCs w:val="24"/>
          <w:lang w:val="en-GB"/>
        </w:rPr>
        <w:t>6</w:t>
      </w:r>
      <w:r w:rsidR="009F5626" w:rsidRPr="00A66575">
        <w:rPr>
          <w:szCs w:val="24"/>
          <w:lang w:val="en-GB"/>
        </w:rPr>
        <w:t xml:space="preserve">). By this time </w:t>
      </w:r>
      <w:r w:rsidR="005C231C">
        <w:rPr>
          <w:szCs w:val="24"/>
        </w:rPr>
        <w:t xml:space="preserve">at least </w:t>
      </w:r>
      <w:r w:rsidR="004213E3">
        <w:rPr>
          <w:szCs w:val="24"/>
        </w:rPr>
        <w:t>six</w:t>
      </w:r>
      <w:r w:rsidR="009F5626" w:rsidRPr="00A66575">
        <w:rPr>
          <w:szCs w:val="24"/>
        </w:rPr>
        <w:t xml:space="preserve"> major villages were contemporaneously occupied</w:t>
      </w:r>
      <w:r w:rsidR="007C4F83">
        <w:rPr>
          <w:szCs w:val="24"/>
        </w:rPr>
        <w:t>.</w:t>
      </w:r>
      <w:r w:rsidR="009F5626" w:rsidRPr="00A66575">
        <w:rPr>
          <w:szCs w:val="24"/>
        </w:rPr>
        <w:t xml:space="preserve"> </w:t>
      </w:r>
      <w:r w:rsidR="009F5626" w:rsidRPr="00A66575">
        <w:rPr>
          <w:b/>
          <w:szCs w:val="24"/>
        </w:rPr>
        <w:t xml:space="preserve"> </w:t>
      </w:r>
    </w:p>
    <w:p w14:paraId="3FC4F8C2" w14:textId="38F54A34" w:rsidR="00D20CD2" w:rsidRDefault="00D20CD2" w:rsidP="00AF2155">
      <w:pPr>
        <w:spacing w:after="0" w:line="480" w:lineRule="auto"/>
        <w:rPr>
          <w:szCs w:val="24"/>
        </w:rPr>
      </w:pPr>
    </w:p>
    <w:p w14:paraId="0287FEAA" w14:textId="77777777" w:rsidR="00494EA4" w:rsidRPr="00E734BD" w:rsidRDefault="00E734BD" w:rsidP="005E1E4C">
      <w:pPr>
        <w:spacing w:after="0" w:line="480" w:lineRule="auto"/>
        <w:rPr>
          <w:b/>
          <w:i/>
          <w:szCs w:val="24"/>
        </w:rPr>
      </w:pPr>
      <w:r w:rsidRPr="00E734BD">
        <w:rPr>
          <w:b/>
          <w:i/>
          <w:szCs w:val="24"/>
        </w:rPr>
        <w:t>1900 to 1300 BP</w:t>
      </w:r>
      <w:r>
        <w:rPr>
          <w:b/>
          <w:i/>
          <w:szCs w:val="24"/>
        </w:rPr>
        <w:t xml:space="preserve"> to the </w:t>
      </w:r>
      <w:r w:rsidRPr="00691148">
        <w:rPr>
          <w:b/>
          <w:i/>
          <w:szCs w:val="24"/>
        </w:rPr>
        <w:t>Present Day</w:t>
      </w:r>
      <w:r w:rsidR="00494EA4" w:rsidRPr="00E734BD">
        <w:rPr>
          <w:b/>
          <w:i/>
          <w:szCs w:val="24"/>
        </w:rPr>
        <w:t xml:space="preserve">: </w:t>
      </w:r>
      <w:r w:rsidRPr="00E734BD">
        <w:rPr>
          <w:b/>
          <w:i/>
          <w:szCs w:val="24"/>
        </w:rPr>
        <w:t>Major Population Shifts and Seasonal Resource Collection</w:t>
      </w:r>
    </w:p>
    <w:p w14:paraId="68CDA1C2" w14:textId="05960400" w:rsidR="00414E49" w:rsidRDefault="00414E49" w:rsidP="00414E49">
      <w:pPr>
        <w:spacing w:after="0" w:line="480" w:lineRule="auto"/>
        <w:ind w:firstLine="720"/>
        <w:rPr>
          <w:szCs w:val="24"/>
        </w:rPr>
      </w:pPr>
      <w:r>
        <w:rPr>
          <w:szCs w:val="24"/>
        </w:rPr>
        <w:t xml:space="preserve">The terminal dates from villages cluster between around 1900 to 1300 </w:t>
      </w:r>
      <w:proofErr w:type="spellStart"/>
      <w:r>
        <w:rPr>
          <w:szCs w:val="24"/>
        </w:rPr>
        <w:t>cal</w:t>
      </w:r>
      <w:proofErr w:type="spellEnd"/>
      <w:r>
        <w:rPr>
          <w:szCs w:val="24"/>
        </w:rPr>
        <w:t xml:space="preserve"> </w:t>
      </w:r>
      <w:proofErr w:type="spellStart"/>
      <w:r>
        <w:rPr>
          <w:szCs w:val="24"/>
        </w:rPr>
        <w:t>yr</w:t>
      </w:r>
      <w:proofErr w:type="spellEnd"/>
      <w:r>
        <w:rPr>
          <w:szCs w:val="24"/>
        </w:rPr>
        <w:t xml:space="preserve"> BP, suggesting a major shift in settlement patterns (</w:t>
      </w:r>
      <w:r w:rsidRPr="00050F20">
        <w:rPr>
          <w:szCs w:val="24"/>
        </w:rPr>
        <w:t>Figures 6 and 7</w:t>
      </w:r>
      <w:r>
        <w:rPr>
          <w:szCs w:val="24"/>
        </w:rPr>
        <w:t xml:space="preserve">). The reason for this shift is not yet known, though it broadly coincides with what appears to have been a major settlement hiatus in the Prince Rupert Harbour associated with a regional conflict (Ames and Martindale 2014; Archer 1992, 2001; Martindale and Marsden 2003; </w:t>
      </w:r>
      <w:proofErr w:type="spellStart"/>
      <w:r>
        <w:rPr>
          <w:szCs w:val="24"/>
        </w:rPr>
        <w:t>McKechnie</w:t>
      </w:r>
      <w:proofErr w:type="spellEnd"/>
      <w:r>
        <w:rPr>
          <w:szCs w:val="24"/>
        </w:rPr>
        <w:t xml:space="preserve"> 2013). </w:t>
      </w:r>
    </w:p>
    <w:p w14:paraId="364162D3" w14:textId="1B1DD6A8" w:rsidR="00D20CD2" w:rsidRDefault="00494EA4" w:rsidP="00414E49">
      <w:pPr>
        <w:spacing w:after="0" w:line="480" w:lineRule="auto"/>
        <w:ind w:firstLine="720"/>
        <w:rPr>
          <w:szCs w:val="24"/>
        </w:rPr>
      </w:pPr>
      <w:r w:rsidRPr="00A66575">
        <w:rPr>
          <w:szCs w:val="24"/>
        </w:rPr>
        <w:t xml:space="preserve">The only dated site from the period after the </w:t>
      </w:r>
      <w:r w:rsidR="005A0F36">
        <w:rPr>
          <w:szCs w:val="24"/>
        </w:rPr>
        <w:t>terminal dates at</w:t>
      </w:r>
      <w:r w:rsidRPr="00A66575">
        <w:rPr>
          <w:szCs w:val="24"/>
        </w:rPr>
        <w:t xml:space="preserve"> the large villages is a non-shell-bearing camp at Con</w:t>
      </w:r>
      <w:r>
        <w:rPr>
          <w:szCs w:val="24"/>
        </w:rPr>
        <w:t>nell Island (GcTr-7</w:t>
      </w:r>
      <w:r w:rsidRPr="00A66575">
        <w:rPr>
          <w:szCs w:val="24"/>
        </w:rPr>
        <w:t xml:space="preserve">), which dates between 400 and 750 </w:t>
      </w:r>
      <w:proofErr w:type="spellStart"/>
      <w:r w:rsidRPr="00A66575">
        <w:rPr>
          <w:szCs w:val="24"/>
        </w:rPr>
        <w:t>cal</w:t>
      </w:r>
      <w:proofErr w:type="spellEnd"/>
      <w:r w:rsidR="00A6084B">
        <w:rPr>
          <w:szCs w:val="24"/>
        </w:rPr>
        <w:t xml:space="preserve"> </w:t>
      </w:r>
      <w:proofErr w:type="spellStart"/>
      <w:r w:rsidR="00A6084B">
        <w:rPr>
          <w:szCs w:val="24"/>
        </w:rPr>
        <w:t>yr</w:t>
      </w:r>
      <w:proofErr w:type="spellEnd"/>
      <w:r w:rsidRPr="00A66575">
        <w:rPr>
          <w:szCs w:val="24"/>
        </w:rPr>
        <w:t xml:space="preserve"> BP</w:t>
      </w:r>
      <w:r w:rsidR="00B5657D">
        <w:rPr>
          <w:szCs w:val="24"/>
        </w:rPr>
        <w:t xml:space="preserve"> (</w:t>
      </w:r>
      <w:r w:rsidR="00B5657D" w:rsidRPr="00A129FB">
        <w:rPr>
          <w:szCs w:val="24"/>
        </w:rPr>
        <w:t xml:space="preserve">Figure </w:t>
      </w:r>
      <w:r w:rsidR="00B47681" w:rsidRPr="00A129FB">
        <w:rPr>
          <w:szCs w:val="24"/>
        </w:rPr>
        <w:t>6</w:t>
      </w:r>
      <w:r w:rsidR="00B5657D">
        <w:rPr>
          <w:szCs w:val="24"/>
        </w:rPr>
        <w:t>)</w:t>
      </w:r>
      <w:r w:rsidRPr="00A66575">
        <w:rPr>
          <w:szCs w:val="24"/>
        </w:rPr>
        <w:t xml:space="preserve">. If occupation shifted from large villages to small camps without shell components during this period, </w:t>
      </w:r>
      <w:r w:rsidR="00D01F6F">
        <w:rPr>
          <w:szCs w:val="24"/>
        </w:rPr>
        <w:t>the archaeological record of this occupation would be more ephemeral</w:t>
      </w:r>
      <w:r w:rsidRPr="00A66575">
        <w:rPr>
          <w:szCs w:val="24"/>
        </w:rPr>
        <w:t>.</w:t>
      </w:r>
      <w:r w:rsidR="00A02986">
        <w:rPr>
          <w:szCs w:val="24"/>
        </w:rPr>
        <w:t xml:space="preserve"> </w:t>
      </w:r>
      <w:r w:rsidRPr="00A66575">
        <w:rPr>
          <w:szCs w:val="24"/>
        </w:rPr>
        <w:t xml:space="preserve">In the absence of a sample of </w:t>
      </w:r>
      <w:r w:rsidR="00D01F6F">
        <w:rPr>
          <w:szCs w:val="24"/>
        </w:rPr>
        <w:t xml:space="preserve">dated </w:t>
      </w:r>
      <w:r w:rsidRPr="00A66575">
        <w:rPr>
          <w:szCs w:val="24"/>
        </w:rPr>
        <w:t xml:space="preserve">sites larger than one, </w:t>
      </w:r>
      <w:r w:rsidRPr="00F523A3">
        <w:rPr>
          <w:szCs w:val="24"/>
        </w:rPr>
        <w:t xml:space="preserve">we </w:t>
      </w:r>
      <w:r w:rsidR="00B47681">
        <w:rPr>
          <w:szCs w:val="24"/>
        </w:rPr>
        <w:t xml:space="preserve">can say comparatively </w:t>
      </w:r>
      <w:r w:rsidR="00724603">
        <w:rPr>
          <w:szCs w:val="24"/>
        </w:rPr>
        <w:t>little</w:t>
      </w:r>
      <w:r w:rsidR="00724603" w:rsidRPr="00A66575">
        <w:rPr>
          <w:szCs w:val="24"/>
        </w:rPr>
        <w:t xml:space="preserve"> </w:t>
      </w:r>
      <w:r w:rsidRPr="00A66575">
        <w:rPr>
          <w:szCs w:val="24"/>
        </w:rPr>
        <w:t xml:space="preserve">about this later period other than it appears that population density on the islands was much lower or that people ceased </w:t>
      </w:r>
      <w:r w:rsidR="00D01F6F">
        <w:rPr>
          <w:szCs w:val="24"/>
        </w:rPr>
        <w:t xml:space="preserve">depositing </w:t>
      </w:r>
      <w:r w:rsidR="00683B52" w:rsidRPr="00A66575">
        <w:rPr>
          <w:szCs w:val="24"/>
        </w:rPr>
        <w:t xml:space="preserve">shells </w:t>
      </w:r>
      <w:r w:rsidR="00D01F6F">
        <w:rPr>
          <w:szCs w:val="24"/>
        </w:rPr>
        <w:t>on land</w:t>
      </w:r>
      <w:r w:rsidR="00A02986">
        <w:rPr>
          <w:szCs w:val="24"/>
        </w:rPr>
        <w:t xml:space="preserve"> in the same patterns observed at the village sites</w:t>
      </w:r>
      <w:r w:rsidR="00D01F6F">
        <w:rPr>
          <w:szCs w:val="24"/>
        </w:rPr>
        <w:t>.</w:t>
      </w:r>
      <w:r w:rsidR="00E93B72">
        <w:rPr>
          <w:szCs w:val="24"/>
        </w:rPr>
        <w:t xml:space="preserve"> This suggests a significant settlement shift away from sedentary village life on the Dundas Islands. </w:t>
      </w:r>
      <w:r w:rsidR="00A02986">
        <w:rPr>
          <w:szCs w:val="24"/>
        </w:rPr>
        <w:t>Numerous c</w:t>
      </w:r>
      <w:r w:rsidRPr="00A66575">
        <w:rPr>
          <w:szCs w:val="24"/>
        </w:rPr>
        <w:t xml:space="preserve">ulturally modified trees demonstrate that the area has been used for bark or wood collection </w:t>
      </w:r>
      <w:r w:rsidRPr="00A66575">
        <w:rPr>
          <w:szCs w:val="24"/>
        </w:rPr>
        <w:lastRenderedPageBreak/>
        <w:t>within the last few centuries. Small shell</w:t>
      </w:r>
      <w:r w:rsidR="00A02986">
        <w:rPr>
          <w:szCs w:val="24"/>
        </w:rPr>
        <w:t>-bearing sites</w:t>
      </w:r>
      <w:r w:rsidRPr="00A66575">
        <w:rPr>
          <w:szCs w:val="24"/>
        </w:rPr>
        <w:t xml:space="preserve"> on the present shoreline, rock shelters, and small villages remain undated site types, and they may fill certain gaps in our settlement chronology. The only clearly</w:t>
      </w:r>
      <w:r w:rsidR="00157AD1">
        <w:rPr>
          <w:szCs w:val="24"/>
        </w:rPr>
        <w:t xml:space="preserve"> </w:t>
      </w:r>
      <w:r w:rsidRPr="00A66575">
        <w:rPr>
          <w:szCs w:val="24"/>
        </w:rPr>
        <w:t>recent occupation of the Dundas Islands, other than culturally modified trees, is the historic fishing and seaweed-collecting cabins used by</w:t>
      </w:r>
      <w:r w:rsidR="00D01F6F">
        <w:rPr>
          <w:szCs w:val="24"/>
        </w:rPr>
        <w:t xml:space="preserve"> </w:t>
      </w:r>
      <w:r w:rsidR="008E6B96">
        <w:rPr>
          <w:szCs w:val="24"/>
        </w:rPr>
        <w:t xml:space="preserve">Northern </w:t>
      </w:r>
      <w:r w:rsidR="00D01F6F">
        <w:rPr>
          <w:szCs w:val="24"/>
        </w:rPr>
        <w:t>Tsimshian</w:t>
      </w:r>
      <w:r w:rsidRPr="00A66575">
        <w:rPr>
          <w:szCs w:val="24"/>
        </w:rPr>
        <w:t xml:space="preserve"> </w:t>
      </w:r>
      <w:r w:rsidR="00D01F6F">
        <w:rPr>
          <w:szCs w:val="24"/>
        </w:rPr>
        <w:t>who currently reside on the mainland</w:t>
      </w:r>
      <w:r w:rsidR="00F60901">
        <w:rPr>
          <w:szCs w:val="24"/>
        </w:rPr>
        <w:t xml:space="preserve">. </w:t>
      </w:r>
      <w:r w:rsidR="00D01F6F">
        <w:rPr>
          <w:szCs w:val="24"/>
        </w:rPr>
        <w:t>These cabins stand testament to the continuity of use of particular locations; indeed, on the shoreline at the base of the terrace with the 1</w:t>
      </w:r>
      <w:r w:rsidR="009517C8">
        <w:rPr>
          <w:szCs w:val="24"/>
        </w:rPr>
        <w:t>1</w:t>
      </w:r>
      <w:r w:rsidR="00D01F6F">
        <w:rPr>
          <w:szCs w:val="24"/>
        </w:rPr>
        <w:t>,000 year-old occupation site and above a later Holocene shell deposit at Far West Point there stands a cabin owned by Walter Green of Lax</w:t>
      </w:r>
      <w:r w:rsidR="00C323D1">
        <w:rPr>
          <w:szCs w:val="24"/>
        </w:rPr>
        <w:t xml:space="preserve"> </w:t>
      </w:r>
      <w:proofErr w:type="spellStart"/>
      <w:r w:rsidR="00D01F6F">
        <w:rPr>
          <w:szCs w:val="24"/>
        </w:rPr>
        <w:t>Kw</w:t>
      </w:r>
      <w:r w:rsidR="00C323D1">
        <w:rPr>
          <w:szCs w:val="24"/>
        </w:rPr>
        <w:t>’</w:t>
      </w:r>
      <w:r w:rsidR="00D01F6F">
        <w:rPr>
          <w:szCs w:val="24"/>
        </w:rPr>
        <w:t>alaams</w:t>
      </w:r>
      <w:proofErr w:type="spellEnd"/>
      <w:r w:rsidR="00D01F6F">
        <w:rPr>
          <w:szCs w:val="24"/>
        </w:rPr>
        <w:t xml:space="preserve"> (McLaren 2008).</w:t>
      </w:r>
    </w:p>
    <w:p w14:paraId="057912CC" w14:textId="77777777" w:rsidR="00D01F6F" w:rsidRDefault="00D01F6F" w:rsidP="005E1E4C">
      <w:pPr>
        <w:spacing w:after="0" w:line="480" w:lineRule="auto"/>
        <w:rPr>
          <w:szCs w:val="24"/>
        </w:rPr>
      </w:pPr>
    </w:p>
    <w:p w14:paraId="10D2D3EF" w14:textId="62C0991C" w:rsidR="00D01F6F" w:rsidRPr="00C60183" w:rsidRDefault="00D01F6F" w:rsidP="005E1E4C">
      <w:pPr>
        <w:spacing w:after="0" w:line="480" w:lineRule="auto"/>
        <w:rPr>
          <w:szCs w:val="24"/>
        </w:rPr>
      </w:pPr>
      <w:r w:rsidRPr="00C60183">
        <w:rPr>
          <w:szCs w:val="24"/>
        </w:rPr>
        <w:t xml:space="preserve">DISCUSSION: THE </w:t>
      </w:r>
      <w:r w:rsidR="008F08E9">
        <w:rPr>
          <w:szCs w:val="24"/>
        </w:rPr>
        <w:t xml:space="preserve">NORTHERN </w:t>
      </w:r>
      <w:r w:rsidRPr="00C60183">
        <w:rPr>
          <w:szCs w:val="24"/>
        </w:rPr>
        <w:t xml:space="preserve">OUTER </w:t>
      </w:r>
      <w:r w:rsidR="008F08E9">
        <w:rPr>
          <w:szCs w:val="24"/>
        </w:rPr>
        <w:t>ISLANDS</w:t>
      </w:r>
      <w:r w:rsidR="008F08E9" w:rsidRPr="00C60183">
        <w:rPr>
          <w:szCs w:val="24"/>
        </w:rPr>
        <w:t xml:space="preserve"> </w:t>
      </w:r>
      <w:r w:rsidRPr="00C60183">
        <w:rPr>
          <w:szCs w:val="24"/>
        </w:rPr>
        <w:t>OF TSIMSHIAN TERRITORY IN CONTEXT</w:t>
      </w:r>
    </w:p>
    <w:p w14:paraId="031937AB" w14:textId="5D4732D1" w:rsidR="00494EA4" w:rsidRDefault="007A4F60" w:rsidP="005E1E4C">
      <w:pPr>
        <w:spacing w:after="0" w:line="480" w:lineRule="auto"/>
        <w:rPr>
          <w:szCs w:val="24"/>
        </w:rPr>
      </w:pPr>
      <w:r>
        <w:rPr>
          <w:szCs w:val="24"/>
        </w:rPr>
        <w:tab/>
        <w:t xml:space="preserve">This analysis has demonstrated two main points: the outer islands of </w:t>
      </w:r>
      <w:r w:rsidR="008E6B96">
        <w:rPr>
          <w:szCs w:val="24"/>
        </w:rPr>
        <w:t xml:space="preserve">Northern </w:t>
      </w:r>
      <w:r>
        <w:rPr>
          <w:szCs w:val="24"/>
        </w:rPr>
        <w:t xml:space="preserve">Tsimshian traditional territory were inhabited by </w:t>
      </w:r>
      <w:r w:rsidR="008355DA">
        <w:rPr>
          <w:szCs w:val="24"/>
        </w:rPr>
        <w:t>seafaring</w:t>
      </w:r>
      <w:r>
        <w:rPr>
          <w:szCs w:val="24"/>
        </w:rPr>
        <w:t xml:space="preserve"> peoples</w:t>
      </w:r>
      <w:r w:rsidR="008355DA">
        <w:rPr>
          <w:szCs w:val="24"/>
        </w:rPr>
        <w:t xml:space="preserve"> exploiting the maritime landscape’s resources</w:t>
      </w:r>
      <w:r>
        <w:rPr>
          <w:szCs w:val="24"/>
        </w:rPr>
        <w:t xml:space="preserve"> as early as 1</w:t>
      </w:r>
      <w:r w:rsidR="009517C8">
        <w:rPr>
          <w:szCs w:val="24"/>
        </w:rPr>
        <w:t>1</w:t>
      </w:r>
      <w:r>
        <w:rPr>
          <w:szCs w:val="24"/>
        </w:rPr>
        <w:t xml:space="preserve">,000 years ago, and these islands were a major, densely occupied population </w:t>
      </w:r>
      <w:r w:rsidR="0094189C">
        <w:rPr>
          <w:szCs w:val="24"/>
        </w:rPr>
        <w:t>cent</w:t>
      </w:r>
      <w:r w:rsidR="00157AD1">
        <w:rPr>
          <w:szCs w:val="24"/>
        </w:rPr>
        <w:t>re</w:t>
      </w:r>
      <w:r>
        <w:rPr>
          <w:szCs w:val="24"/>
        </w:rPr>
        <w:t xml:space="preserve"> by at least the second half of the Holocene. Clearly, these geographically marginal locations were n</w:t>
      </w:r>
      <w:r w:rsidR="00B456E7">
        <w:rPr>
          <w:szCs w:val="24"/>
        </w:rPr>
        <w:t>either</w:t>
      </w:r>
      <w:r>
        <w:rPr>
          <w:szCs w:val="24"/>
        </w:rPr>
        <w:t xml:space="preserve"> culturally </w:t>
      </w:r>
      <w:r w:rsidR="00B456E7">
        <w:rPr>
          <w:szCs w:val="24"/>
        </w:rPr>
        <w:t xml:space="preserve">nor historically </w:t>
      </w:r>
      <w:r>
        <w:rPr>
          <w:szCs w:val="24"/>
        </w:rPr>
        <w:t>marginal. An understanding of the human history of places</w:t>
      </w:r>
      <w:r w:rsidR="00114EC6">
        <w:rPr>
          <w:szCs w:val="24"/>
        </w:rPr>
        <w:t xml:space="preserve"> now considered ‘remote’</w:t>
      </w:r>
      <w:r>
        <w:rPr>
          <w:szCs w:val="24"/>
        </w:rPr>
        <w:t xml:space="preserve"> is important for developing a</w:t>
      </w:r>
      <w:r w:rsidR="00444CF5">
        <w:rPr>
          <w:szCs w:val="24"/>
        </w:rPr>
        <w:t xml:space="preserve"> broader</w:t>
      </w:r>
      <w:r>
        <w:rPr>
          <w:szCs w:val="24"/>
        </w:rPr>
        <w:t xml:space="preserve"> understanding of the northern </w:t>
      </w:r>
      <w:r w:rsidR="00BE1259">
        <w:rPr>
          <w:szCs w:val="24"/>
        </w:rPr>
        <w:t xml:space="preserve">British Columbia </w:t>
      </w:r>
      <w:r>
        <w:rPr>
          <w:szCs w:val="24"/>
        </w:rPr>
        <w:t xml:space="preserve">Coast. </w:t>
      </w:r>
      <w:r w:rsidRPr="00A66575">
        <w:rPr>
          <w:szCs w:val="24"/>
        </w:rPr>
        <w:t xml:space="preserve">In a recent synthesis of </w:t>
      </w:r>
      <w:r w:rsidR="00114EC6">
        <w:rPr>
          <w:szCs w:val="24"/>
        </w:rPr>
        <w:t>Northwest Coast archaeology</w:t>
      </w:r>
      <w:r w:rsidRPr="00A66575">
        <w:rPr>
          <w:szCs w:val="24"/>
        </w:rPr>
        <w:t xml:space="preserve">, Madonna Moss </w:t>
      </w:r>
      <w:r w:rsidR="00C60183">
        <w:rPr>
          <w:szCs w:val="24"/>
        </w:rPr>
        <w:t>(2011:46)</w:t>
      </w:r>
      <w:r w:rsidR="00C60183" w:rsidRPr="00A66575">
        <w:rPr>
          <w:szCs w:val="24"/>
        </w:rPr>
        <w:t xml:space="preserve"> </w:t>
      </w:r>
      <w:r w:rsidRPr="00A66575">
        <w:rPr>
          <w:szCs w:val="24"/>
        </w:rPr>
        <w:t>argues that “local and regional landscapes embed a complex mosaic of human history</w:t>
      </w:r>
      <w:r w:rsidR="00C60183">
        <w:rPr>
          <w:szCs w:val="24"/>
        </w:rPr>
        <w:t>.</w:t>
      </w:r>
      <w:r w:rsidRPr="00A66575">
        <w:rPr>
          <w:szCs w:val="24"/>
        </w:rPr>
        <w:t>” She highlights an overall trend of cultural continuity through the Holocene but emphasizes that this does not mean that Northwest Coast cultures were in a state of stasis. The settlement data that we have for the Dundas Islands span the Holocene</w:t>
      </w:r>
      <w:r w:rsidR="00C60183">
        <w:rPr>
          <w:szCs w:val="24"/>
        </w:rPr>
        <w:t>,</w:t>
      </w:r>
      <w:r w:rsidRPr="00A66575">
        <w:rPr>
          <w:szCs w:val="24"/>
        </w:rPr>
        <w:t xml:space="preserve"> </w:t>
      </w:r>
      <w:r w:rsidR="00C60183">
        <w:rPr>
          <w:szCs w:val="24"/>
        </w:rPr>
        <w:t>giving</w:t>
      </w:r>
      <w:r w:rsidR="00C60183" w:rsidRPr="00A66575">
        <w:rPr>
          <w:szCs w:val="24"/>
        </w:rPr>
        <w:t xml:space="preserve"> </w:t>
      </w:r>
      <w:r w:rsidRPr="00A66575">
        <w:rPr>
          <w:szCs w:val="24"/>
        </w:rPr>
        <w:t xml:space="preserve">a unique </w:t>
      </w:r>
      <w:r w:rsidR="00C60183">
        <w:rPr>
          <w:szCs w:val="24"/>
        </w:rPr>
        <w:t>view into</w:t>
      </w:r>
      <w:r w:rsidRPr="00A66575">
        <w:rPr>
          <w:szCs w:val="24"/>
        </w:rPr>
        <w:t xml:space="preserve"> this ‘mosaic’ </w:t>
      </w:r>
      <w:r w:rsidR="003364B4">
        <w:rPr>
          <w:szCs w:val="24"/>
        </w:rPr>
        <w:t>and provid</w:t>
      </w:r>
      <w:r w:rsidR="00C60183">
        <w:rPr>
          <w:szCs w:val="24"/>
        </w:rPr>
        <w:t>ing</w:t>
      </w:r>
      <w:r w:rsidR="003364B4">
        <w:rPr>
          <w:szCs w:val="24"/>
        </w:rPr>
        <w:t xml:space="preserve"> a sense of how people occupied the offshore </w:t>
      </w:r>
      <w:r w:rsidR="003364B4">
        <w:rPr>
          <w:szCs w:val="24"/>
        </w:rPr>
        <w:lastRenderedPageBreak/>
        <w:t xml:space="preserve">islands of the northern </w:t>
      </w:r>
      <w:r w:rsidR="00C60183">
        <w:rPr>
          <w:szCs w:val="24"/>
        </w:rPr>
        <w:t xml:space="preserve">British Columbia </w:t>
      </w:r>
      <w:r w:rsidR="003364B4">
        <w:rPr>
          <w:szCs w:val="24"/>
        </w:rPr>
        <w:t>coast</w:t>
      </w:r>
      <w:r w:rsidRPr="00A66575">
        <w:rPr>
          <w:szCs w:val="24"/>
        </w:rPr>
        <w:t>.</w:t>
      </w:r>
      <w:r w:rsidR="00E92EAE">
        <w:rPr>
          <w:szCs w:val="24"/>
        </w:rPr>
        <w:t xml:space="preserve"> </w:t>
      </w:r>
      <w:r w:rsidR="00A26248">
        <w:rPr>
          <w:szCs w:val="24"/>
        </w:rPr>
        <w:t xml:space="preserve">In this final section we compare aspects of chronology, spatial patterning, and seasonality and subsistence from the Dundas Islands to other areas of </w:t>
      </w:r>
      <w:r w:rsidR="002F026E">
        <w:rPr>
          <w:szCs w:val="24"/>
        </w:rPr>
        <w:t>Northern Tsimshian territory, with comments about other areas of the northern Northwest Coast as they are germane</w:t>
      </w:r>
      <w:r w:rsidR="00A26248">
        <w:rPr>
          <w:szCs w:val="24"/>
        </w:rPr>
        <w:t>.</w:t>
      </w:r>
      <w:r w:rsidR="00E110F7">
        <w:rPr>
          <w:szCs w:val="24"/>
        </w:rPr>
        <w:t xml:space="preserve"> We focus on comparisons that we are able to make with our survey, percussion core, and auger sample data.</w:t>
      </w:r>
    </w:p>
    <w:p w14:paraId="7979454D" w14:textId="4A4279DB" w:rsidR="00F0444E" w:rsidRDefault="008D7895" w:rsidP="005E1E4C">
      <w:pPr>
        <w:spacing w:after="0" w:line="480" w:lineRule="auto"/>
        <w:ind w:firstLine="720"/>
        <w:rPr>
          <w:szCs w:val="24"/>
        </w:rPr>
      </w:pPr>
      <w:r w:rsidRPr="00A66575">
        <w:rPr>
          <w:szCs w:val="24"/>
        </w:rPr>
        <w:t xml:space="preserve">Moss (2011) also </w:t>
      </w:r>
      <w:r w:rsidR="00C94280">
        <w:rPr>
          <w:szCs w:val="24"/>
        </w:rPr>
        <w:t>reminds us</w:t>
      </w:r>
      <w:r w:rsidR="00C94280" w:rsidRPr="00A66575">
        <w:rPr>
          <w:szCs w:val="24"/>
        </w:rPr>
        <w:t xml:space="preserve"> </w:t>
      </w:r>
      <w:r w:rsidRPr="00A66575">
        <w:rPr>
          <w:szCs w:val="24"/>
        </w:rPr>
        <w:t>that our reconstructions of Northwest Coast history are biased by a material record that becomes more fragmentary</w:t>
      </w:r>
      <w:r w:rsidR="00C94280">
        <w:rPr>
          <w:szCs w:val="24"/>
        </w:rPr>
        <w:t xml:space="preserve"> </w:t>
      </w:r>
      <w:r w:rsidRPr="00A66575">
        <w:rPr>
          <w:szCs w:val="24"/>
        </w:rPr>
        <w:t xml:space="preserve">further into the past. </w:t>
      </w:r>
      <w:r w:rsidR="003C46D6">
        <w:rPr>
          <w:szCs w:val="24"/>
        </w:rPr>
        <w:t>To date</w:t>
      </w:r>
      <w:r w:rsidR="00610C2A">
        <w:rPr>
          <w:szCs w:val="24"/>
        </w:rPr>
        <w:t xml:space="preserve">, no </w:t>
      </w:r>
      <w:r w:rsidR="00731553">
        <w:rPr>
          <w:szCs w:val="24"/>
        </w:rPr>
        <w:t xml:space="preserve">sites older than 6000 </w:t>
      </w:r>
      <w:proofErr w:type="spellStart"/>
      <w:r w:rsidR="00731553">
        <w:rPr>
          <w:szCs w:val="24"/>
        </w:rPr>
        <w:t>cal</w:t>
      </w:r>
      <w:proofErr w:type="spellEnd"/>
      <w:r w:rsidR="00A6084B">
        <w:rPr>
          <w:szCs w:val="24"/>
        </w:rPr>
        <w:t xml:space="preserve"> </w:t>
      </w:r>
      <w:proofErr w:type="spellStart"/>
      <w:r w:rsidR="00A6084B">
        <w:rPr>
          <w:szCs w:val="24"/>
        </w:rPr>
        <w:t>yr</w:t>
      </w:r>
      <w:proofErr w:type="spellEnd"/>
      <w:r w:rsidR="00731553">
        <w:rPr>
          <w:szCs w:val="24"/>
        </w:rPr>
        <w:t xml:space="preserve"> BP have been </w:t>
      </w:r>
      <w:r w:rsidR="003C46D6">
        <w:rPr>
          <w:szCs w:val="24"/>
        </w:rPr>
        <w:t xml:space="preserve">documented </w:t>
      </w:r>
      <w:r w:rsidR="00731553">
        <w:rPr>
          <w:szCs w:val="24"/>
        </w:rPr>
        <w:t xml:space="preserve">on the mainland coast </w:t>
      </w:r>
      <w:r w:rsidR="00876BE9">
        <w:rPr>
          <w:szCs w:val="24"/>
        </w:rPr>
        <w:t>between the Nass and Skeena Rivers</w:t>
      </w:r>
      <w:r w:rsidR="00731553">
        <w:rPr>
          <w:szCs w:val="24"/>
        </w:rPr>
        <w:t xml:space="preserve"> (Ames 2005</w:t>
      </w:r>
      <w:r w:rsidR="0094189C">
        <w:rPr>
          <w:szCs w:val="24"/>
        </w:rPr>
        <w:t>; Ames and Martindale 2014</w:t>
      </w:r>
      <w:r w:rsidR="00731553">
        <w:rPr>
          <w:szCs w:val="24"/>
        </w:rPr>
        <w:t>; MacDonald and Inglis 1981), th</w:t>
      </w:r>
      <w:r w:rsidR="00B90AD7">
        <w:rPr>
          <w:szCs w:val="24"/>
        </w:rPr>
        <w:t xml:space="preserve">ough </w:t>
      </w:r>
      <w:r>
        <w:rPr>
          <w:szCs w:val="24"/>
        </w:rPr>
        <w:t>no</w:t>
      </w:r>
      <w:r w:rsidR="00336922">
        <w:rPr>
          <w:szCs w:val="24"/>
        </w:rPr>
        <w:t xml:space="preserve"> detailed relative sea </w:t>
      </w:r>
      <w:r w:rsidR="00B90AD7">
        <w:rPr>
          <w:szCs w:val="24"/>
        </w:rPr>
        <w:t xml:space="preserve">level reconstructions and </w:t>
      </w:r>
      <w:r w:rsidR="00FC169C">
        <w:rPr>
          <w:szCs w:val="24"/>
        </w:rPr>
        <w:t xml:space="preserve">archaeological </w:t>
      </w:r>
      <w:r w:rsidR="00B90AD7">
        <w:rPr>
          <w:szCs w:val="24"/>
        </w:rPr>
        <w:t>surveys based upon them</w:t>
      </w:r>
      <w:r>
        <w:rPr>
          <w:szCs w:val="24"/>
        </w:rPr>
        <w:t xml:space="preserve"> have yet been conducted</w:t>
      </w:r>
      <w:r w:rsidR="00B90AD7">
        <w:rPr>
          <w:szCs w:val="24"/>
        </w:rPr>
        <w:t xml:space="preserve"> in these areas</w:t>
      </w:r>
      <w:r w:rsidR="00731553">
        <w:rPr>
          <w:szCs w:val="24"/>
        </w:rPr>
        <w:t>.</w:t>
      </w:r>
      <w:r w:rsidR="003364B4">
        <w:rPr>
          <w:szCs w:val="24"/>
        </w:rPr>
        <w:t xml:space="preserve"> In contrast, we know that the outer islands were occupied by at least 1</w:t>
      </w:r>
      <w:r w:rsidR="009517C8">
        <w:rPr>
          <w:szCs w:val="24"/>
        </w:rPr>
        <w:t>1</w:t>
      </w:r>
      <w:r w:rsidR="003364B4">
        <w:rPr>
          <w:szCs w:val="24"/>
        </w:rPr>
        <w:t xml:space="preserve">,000 </w:t>
      </w:r>
      <w:proofErr w:type="spellStart"/>
      <w:r w:rsidR="003364B4">
        <w:rPr>
          <w:szCs w:val="24"/>
        </w:rPr>
        <w:t>cal</w:t>
      </w:r>
      <w:proofErr w:type="spellEnd"/>
      <w:r w:rsidR="00A6084B">
        <w:rPr>
          <w:szCs w:val="24"/>
        </w:rPr>
        <w:t xml:space="preserve"> </w:t>
      </w:r>
      <w:proofErr w:type="spellStart"/>
      <w:r w:rsidR="00A6084B">
        <w:rPr>
          <w:szCs w:val="24"/>
        </w:rPr>
        <w:t>yr</w:t>
      </w:r>
      <w:proofErr w:type="spellEnd"/>
      <w:r w:rsidR="003364B4">
        <w:rPr>
          <w:szCs w:val="24"/>
        </w:rPr>
        <w:t xml:space="preserve"> BP. </w:t>
      </w:r>
      <w:r w:rsidR="001141BF">
        <w:rPr>
          <w:szCs w:val="24"/>
        </w:rPr>
        <w:t xml:space="preserve">A brief visit to Stephens Pass – between Stephens Island and Prescott Island, twenty </w:t>
      </w:r>
      <w:proofErr w:type="spellStart"/>
      <w:r w:rsidR="001141BF">
        <w:rPr>
          <w:szCs w:val="24"/>
        </w:rPr>
        <w:t>kilomet</w:t>
      </w:r>
      <w:r w:rsidR="00260958">
        <w:rPr>
          <w:szCs w:val="24"/>
        </w:rPr>
        <w:t>re</w:t>
      </w:r>
      <w:r w:rsidR="001141BF">
        <w:rPr>
          <w:szCs w:val="24"/>
        </w:rPr>
        <w:t>s</w:t>
      </w:r>
      <w:proofErr w:type="spellEnd"/>
      <w:r w:rsidR="001141BF">
        <w:rPr>
          <w:szCs w:val="24"/>
        </w:rPr>
        <w:t xml:space="preserve"> offshore</w:t>
      </w:r>
      <w:r w:rsidR="003E086F">
        <w:rPr>
          <w:szCs w:val="24"/>
        </w:rPr>
        <w:t xml:space="preserve"> and twenty-seven </w:t>
      </w:r>
      <w:proofErr w:type="spellStart"/>
      <w:r w:rsidR="003E086F">
        <w:rPr>
          <w:szCs w:val="24"/>
        </w:rPr>
        <w:t>kilomet</w:t>
      </w:r>
      <w:r w:rsidR="00260958">
        <w:rPr>
          <w:szCs w:val="24"/>
        </w:rPr>
        <w:t>re</w:t>
      </w:r>
      <w:r w:rsidR="003E086F">
        <w:rPr>
          <w:szCs w:val="24"/>
        </w:rPr>
        <w:t>s</w:t>
      </w:r>
      <w:proofErr w:type="spellEnd"/>
      <w:r w:rsidR="003E086F">
        <w:rPr>
          <w:szCs w:val="24"/>
        </w:rPr>
        <w:t xml:space="preserve"> south of the Dundas </w:t>
      </w:r>
      <w:r w:rsidR="00876BE9">
        <w:rPr>
          <w:szCs w:val="24"/>
        </w:rPr>
        <w:t xml:space="preserve">Islands </w:t>
      </w:r>
      <w:r w:rsidR="00C94280">
        <w:rPr>
          <w:szCs w:val="24"/>
        </w:rPr>
        <w:t>(</w:t>
      </w:r>
      <w:r w:rsidR="00C94280" w:rsidRPr="00A129FB">
        <w:rPr>
          <w:szCs w:val="24"/>
        </w:rPr>
        <w:t>Figure 1</w:t>
      </w:r>
      <w:r w:rsidR="00C94280">
        <w:rPr>
          <w:szCs w:val="24"/>
        </w:rPr>
        <w:t>)</w:t>
      </w:r>
      <w:r w:rsidR="001141BF">
        <w:rPr>
          <w:szCs w:val="24"/>
        </w:rPr>
        <w:t xml:space="preserve"> – by </w:t>
      </w:r>
      <w:r w:rsidR="00414E49">
        <w:rPr>
          <w:szCs w:val="24"/>
        </w:rPr>
        <w:t xml:space="preserve">two of </w:t>
      </w:r>
      <w:r w:rsidR="001141BF">
        <w:rPr>
          <w:szCs w:val="24"/>
        </w:rPr>
        <w:t>the authors</w:t>
      </w:r>
      <w:r w:rsidR="00414E49">
        <w:rPr>
          <w:szCs w:val="24"/>
        </w:rPr>
        <w:t xml:space="preserve"> (</w:t>
      </w:r>
      <w:proofErr w:type="spellStart"/>
      <w:r w:rsidR="00414E49">
        <w:rPr>
          <w:szCs w:val="24"/>
        </w:rPr>
        <w:t>Letham</w:t>
      </w:r>
      <w:proofErr w:type="spellEnd"/>
      <w:r w:rsidR="00414E49">
        <w:rPr>
          <w:szCs w:val="24"/>
        </w:rPr>
        <w:t xml:space="preserve"> and Martindale)</w:t>
      </w:r>
      <w:r w:rsidR="001141BF">
        <w:rPr>
          <w:szCs w:val="24"/>
        </w:rPr>
        <w:t xml:space="preserve"> in June 2014 revealed that this area had villages as large as the largest Dundas Islands and Prince Rupert Harbour villages, as well as several smaller shell-bearing deposits on terraces about ten met</w:t>
      </w:r>
      <w:r w:rsidR="0086637E">
        <w:rPr>
          <w:szCs w:val="24"/>
        </w:rPr>
        <w:t>re</w:t>
      </w:r>
      <w:r w:rsidR="001141BF">
        <w:rPr>
          <w:szCs w:val="24"/>
        </w:rPr>
        <w:t xml:space="preserve">s above the current shoreline. </w:t>
      </w:r>
      <w:r w:rsidR="00295075">
        <w:rPr>
          <w:szCs w:val="24"/>
        </w:rPr>
        <w:t>Two raised components have dates spanning</w:t>
      </w:r>
      <w:r w:rsidR="005B6862">
        <w:rPr>
          <w:szCs w:val="24"/>
        </w:rPr>
        <w:t xml:space="preserve"> 9500</w:t>
      </w:r>
      <w:r w:rsidR="0086637E">
        <w:rPr>
          <w:szCs w:val="24"/>
        </w:rPr>
        <w:t xml:space="preserve"> to </w:t>
      </w:r>
      <w:r w:rsidR="005B6862">
        <w:rPr>
          <w:szCs w:val="24"/>
        </w:rPr>
        <w:t xml:space="preserve">6400 </w:t>
      </w:r>
      <w:proofErr w:type="spellStart"/>
      <w:r w:rsidR="005B6862">
        <w:rPr>
          <w:szCs w:val="24"/>
        </w:rPr>
        <w:t>cal</w:t>
      </w:r>
      <w:proofErr w:type="spellEnd"/>
      <w:r w:rsidR="00A6084B">
        <w:rPr>
          <w:szCs w:val="24"/>
        </w:rPr>
        <w:t xml:space="preserve"> </w:t>
      </w:r>
      <w:proofErr w:type="spellStart"/>
      <w:r w:rsidR="00A6084B">
        <w:rPr>
          <w:szCs w:val="24"/>
        </w:rPr>
        <w:t>yr</w:t>
      </w:r>
      <w:proofErr w:type="spellEnd"/>
      <w:r w:rsidR="005B6862">
        <w:rPr>
          <w:szCs w:val="24"/>
        </w:rPr>
        <w:t xml:space="preserve"> BP and 7200</w:t>
      </w:r>
      <w:r w:rsidR="0086637E">
        <w:rPr>
          <w:szCs w:val="24"/>
        </w:rPr>
        <w:t xml:space="preserve"> to </w:t>
      </w:r>
      <w:r w:rsidR="005B6862">
        <w:rPr>
          <w:szCs w:val="24"/>
        </w:rPr>
        <w:t xml:space="preserve">5000 </w:t>
      </w:r>
      <w:proofErr w:type="spellStart"/>
      <w:r w:rsidR="005B6862">
        <w:rPr>
          <w:szCs w:val="24"/>
        </w:rPr>
        <w:t>cal</w:t>
      </w:r>
      <w:proofErr w:type="spellEnd"/>
      <w:r w:rsidR="00A6084B">
        <w:rPr>
          <w:szCs w:val="24"/>
        </w:rPr>
        <w:t xml:space="preserve"> </w:t>
      </w:r>
      <w:proofErr w:type="spellStart"/>
      <w:r w:rsidR="00A6084B">
        <w:rPr>
          <w:szCs w:val="24"/>
        </w:rPr>
        <w:t>yr</w:t>
      </w:r>
      <w:proofErr w:type="spellEnd"/>
      <w:r w:rsidR="005B6862">
        <w:rPr>
          <w:szCs w:val="24"/>
        </w:rPr>
        <w:t xml:space="preserve"> BP</w:t>
      </w:r>
      <w:r w:rsidR="00E92EAE">
        <w:rPr>
          <w:szCs w:val="24"/>
        </w:rPr>
        <w:t xml:space="preserve"> (</w:t>
      </w:r>
      <w:r w:rsidR="00E92EAE" w:rsidRPr="00A129FB">
        <w:rPr>
          <w:szCs w:val="24"/>
        </w:rPr>
        <w:t xml:space="preserve">Table </w:t>
      </w:r>
      <w:r w:rsidR="00876BE9" w:rsidRPr="00A129FB">
        <w:rPr>
          <w:szCs w:val="24"/>
        </w:rPr>
        <w:t>2</w:t>
      </w:r>
      <w:r w:rsidR="00E92EAE">
        <w:rPr>
          <w:szCs w:val="24"/>
        </w:rPr>
        <w:t>)</w:t>
      </w:r>
      <w:r w:rsidR="00186B3D">
        <w:rPr>
          <w:szCs w:val="24"/>
        </w:rPr>
        <w:t xml:space="preserve">, </w:t>
      </w:r>
      <w:r w:rsidR="0086637E">
        <w:rPr>
          <w:szCs w:val="24"/>
        </w:rPr>
        <w:t>suggesting</w:t>
      </w:r>
      <w:r w:rsidR="00186B3D">
        <w:rPr>
          <w:szCs w:val="24"/>
        </w:rPr>
        <w:t xml:space="preserve"> that</w:t>
      </w:r>
      <w:r w:rsidR="0086637E">
        <w:rPr>
          <w:szCs w:val="24"/>
        </w:rPr>
        <w:t xml:space="preserve"> the</w:t>
      </w:r>
      <w:r w:rsidR="00186B3D">
        <w:rPr>
          <w:szCs w:val="24"/>
        </w:rPr>
        <w:t xml:space="preserve"> sea level and settlement histories </w:t>
      </w:r>
      <w:r w:rsidR="0086637E">
        <w:rPr>
          <w:szCs w:val="24"/>
        </w:rPr>
        <w:t>of Stephens Island</w:t>
      </w:r>
      <w:r w:rsidR="00876BE9">
        <w:rPr>
          <w:szCs w:val="24"/>
        </w:rPr>
        <w:t>s</w:t>
      </w:r>
      <w:r w:rsidR="0086637E">
        <w:rPr>
          <w:szCs w:val="24"/>
        </w:rPr>
        <w:t xml:space="preserve"> </w:t>
      </w:r>
      <w:r w:rsidR="00186B3D">
        <w:rPr>
          <w:szCs w:val="24"/>
        </w:rPr>
        <w:t>may parallel thos</w:t>
      </w:r>
      <w:r w:rsidR="00C94280">
        <w:rPr>
          <w:szCs w:val="24"/>
        </w:rPr>
        <w:t>e</w:t>
      </w:r>
      <w:r w:rsidR="00186B3D">
        <w:rPr>
          <w:szCs w:val="24"/>
        </w:rPr>
        <w:t xml:space="preserve"> of the Dundas </w:t>
      </w:r>
      <w:r w:rsidR="0086637E">
        <w:rPr>
          <w:szCs w:val="24"/>
        </w:rPr>
        <w:t>archipelago</w:t>
      </w:r>
      <w:r w:rsidR="00295075">
        <w:rPr>
          <w:szCs w:val="24"/>
        </w:rPr>
        <w:t xml:space="preserve">. </w:t>
      </w:r>
      <w:r w:rsidR="003364B4">
        <w:rPr>
          <w:szCs w:val="24"/>
        </w:rPr>
        <w:t xml:space="preserve">Recent work at GbTp-1 on the Lucy Islands, </w:t>
      </w:r>
      <w:r w:rsidR="00EE7681">
        <w:rPr>
          <w:szCs w:val="24"/>
        </w:rPr>
        <w:t xml:space="preserve">about ten </w:t>
      </w:r>
      <w:proofErr w:type="spellStart"/>
      <w:r w:rsidR="00EE7681">
        <w:rPr>
          <w:szCs w:val="24"/>
        </w:rPr>
        <w:t>kilomet</w:t>
      </w:r>
      <w:r w:rsidR="0086637E">
        <w:rPr>
          <w:szCs w:val="24"/>
        </w:rPr>
        <w:t>re</w:t>
      </w:r>
      <w:r w:rsidR="00EE7681">
        <w:rPr>
          <w:szCs w:val="24"/>
        </w:rPr>
        <w:t>s</w:t>
      </w:r>
      <w:proofErr w:type="spellEnd"/>
      <w:r w:rsidR="00EE7681">
        <w:rPr>
          <w:szCs w:val="24"/>
        </w:rPr>
        <w:t xml:space="preserve"> south-southeast of the south end of the Dundas group</w:t>
      </w:r>
      <w:r w:rsidR="00967A32">
        <w:rPr>
          <w:szCs w:val="24"/>
        </w:rPr>
        <w:t xml:space="preserve"> (</w:t>
      </w:r>
      <w:r w:rsidR="00967A32" w:rsidRPr="00A129FB">
        <w:rPr>
          <w:szCs w:val="24"/>
        </w:rPr>
        <w:t>Figure 1</w:t>
      </w:r>
      <w:r w:rsidR="00967A32">
        <w:rPr>
          <w:szCs w:val="24"/>
        </w:rPr>
        <w:t>)</w:t>
      </w:r>
      <w:r w:rsidR="0086637E">
        <w:rPr>
          <w:szCs w:val="24"/>
        </w:rPr>
        <w:t>,</w:t>
      </w:r>
      <w:r w:rsidR="00EE7681">
        <w:rPr>
          <w:szCs w:val="24"/>
        </w:rPr>
        <w:t xml:space="preserve"> has mapped and dated a series of shell-bearing deposits that follow terraces that g</w:t>
      </w:r>
      <w:r w:rsidR="00336922">
        <w:rPr>
          <w:szCs w:val="24"/>
        </w:rPr>
        <w:t xml:space="preserve">enerally match the relative sea </w:t>
      </w:r>
      <w:r w:rsidR="00EE7681">
        <w:rPr>
          <w:szCs w:val="24"/>
        </w:rPr>
        <w:t xml:space="preserve">level regression recorded for the Dundas Islands; the highest terrace yielded a date of 9500 </w:t>
      </w:r>
      <w:proofErr w:type="spellStart"/>
      <w:r w:rsidR="00E361C3">
        <w:rPr>
          <w:szCs w:val="24"/>
        </w:rPr>
        <w:t>cal</w:t>
      </w:r>
      <w:proofErr w:type="spellEnd"/>
      <w:r w:rsidR="00E361C3">
        <w:rPr>
          <w:szCs w:val="24"/>
        </w:rPr>
        <w:t xml:space="preserve"> </w:t>
      </w:r>
      <w:proofErr w:type="spellStart"/>
      <w:r w:rsidR="00E361C3">
        <w:rPr>
          <w:szCs w:val="24"/>
        </w:rPr>
        <w:t>yr</w:t>
      </w:r>
      <w:proofErr w:type="spellEnd"/>
      <w:r w:rsidR="00E361C3">
        <w:rPr>
          <w:szCs w:val="24"/>
        </w:rPr>
        <w:t xml:space="preserve"> BP</w:t>
      </w:r>
      <w:r w:rsidR="00EE7681">
        <w:rPr>
          <w:szCs w:val="24"/>
        </w:rPr>
        <w:t xml:space="preserve"> (Archer and Mueller 2013; Cui et al. 2013). Furthermore, a structural depression </w:t>
      </w:r>
      <w:r w:rsidR="0086637E">
        <w:rPr>
          <w:szCs w:val="24"/>
        </w:rPr>
        <w:t xml:space="preserve">was </w:t>
      </w:r>
      <w:r w:rsidR="00EE7681">
        <w:rPr>
          <w:szCs w:val="24"/>
        </w:rPr>
        <w:lastRenderedPageBreak/>
        <w:t xml:space="preserve">recorded at </w:t>
      </w:r>
      <w:r w:rsidR="006D66D4">
        <w:rPr>
          <w:szCs w:val="24"/>
        </w:rPr>
        <w:t xml:space="preserve">GbTp-1, </w:t>
      </w:r>
      <w:r w:rsidR="0086637E">
        <w:rPr>
          <w:szCs w:val="24"/>
        </w:rPr>
        <w:t xml:space="preserve">with </w:t>
      </w:r>
      <w:r w:rsidR="006D66D4">
        <w:rPr>
          <w:szCs w:val="24"/>
        </w:rPr>
        <w:t xml:space="preserve">deposits near </w:t>
      </w:r>
      <w:r w:rsidR="0086637E">
        <w:rPr>
          <w:szCs w:val="24"/>
        </w:rPr>
        <w:t xml:space="preserve">its </w:t>
      </w:r>
      <w:r w:rsidR="006D66D4">
        <w:rPr>
          <w:szCs w:val="24"/>
        </w:rPr>
        <w:t xml:space="preserve">edge dated to sometime between 6400 </w:t>
      </w:r>
      <w:proofErr w:type="spellStart"/>
      <w:r w:rsidR="006D66D4">
        <w:rPr>
          <w:szCs w:val="24"/>
        </w:rPr>
        <w:t>cal</w:t>
      </w:r>
      <w:proofErr w:type="spellEnd"/>
      <w:r w:rsidR="00A6084B">
        <w:rPr>
          <w:szCs w:val="24"/>
        </w:rPr>
        <w:t xml:space="preserve"> </w:t>
      </w:r>
      <w:proofErr w:type="spellStart"/>
      <w:r w:rsidR="00A6084B">
        <w:rPr>
          <w:szCs w:val="24"/>
        </w:rPr>
        <w:t>yr</w:t>
      </w:r>
      <w:proofErr w:type="spellEnd"/>
      <w:r w:rsidR="006D66D4">
        <w:rPr>
          <w:szCs w:val="24"/>
        </w:rPr>
        <w:t xml:space="preserve"> BP and 5200 </w:t>
      </w:r>
      <w:proofErr w:type="spellStart"/>
      <w:r w:rsidR="006D66D4">
        <w:rPr>
          <w:szCs w:val="24"/>
        </w:rPr>
        <w:t>cal</w:t>
      </w:r>
      <w:proofErr w:type="spellEnd"/>
      <w:r w:rsidR="00A6084B">
        <w:rPr>
          <w:szCs w:val="24"/>
        </w:rPr>
        <w:t xml:space="preserve"> </w:t>
      </w:r>
      <w:proofErr w:type="spellStart"/>
      <w:r w:rsidR="00A6084B">
        <w:rPr>
          <w:szCs w:val="24"/>
        </w:rPr>
        <w:t>yr</w:t>
      </w:r>
      <w:proofErr w:type="spellEnd"/>
      <w:r w:rsidR="006D66D4">
        <w:rPr>
          <w:szCs w:val="24"/>
        </w:rPr>
        <w:t xml:space="preserve"> BP (Archer 2011; Archer and Mueller 2013:8), suggesting that this structure </w:t>
      </w:r>
      <w:r w:rsidR="009A0960">
        <w:rPr>
          <w:szCs w:val="24"/>
        </w:rPr>
        <w:t>is roughly the same age</w:t>
      </w:r>
      <w:r w:rsidR="006D66D4">
        <w:rPr>
          <w:szCs w:val="24"/>
        </w:rPr>
        <w:t xml:space="preserve"> as </w:t>
      </w:r>
      <w:r w:rsidR="00E92EAE">
        <w:rPr>
          <w:szCs w:val="24"/>
        </w:rPr>
        <w:t xml:space="preserve">or only slightly more recent than </w:t>
      </w:r>
      <w:r w:rsidR="006D66D4">
        <w:rPr>
          <w:szCs w:val="24"/>
        </w:rPr>
        <w:t>that at GdTq-3</w:t>
      </w:r>
      <w:r w:rsidR="009C5C8F">
        <w:rPr>
          <w:szCs w:val="24"/>
        </w:rPr>
        <w:t xml:space="preserve"> on the Dundas Islands</w:t>
      </w:r>
      <w:r w:rsidR="0086637E">
        <w:rPr>
          <w:szCs w:val="24"/>
        </w:rPr>
        <w:t>.</w:t>
      </w:r>
      <w:r w:rsidR="006D66D4">
        <w:rPr>
          <w:szCs w:val="24"/>
        </w:rPr>
        <w:t xml:space="preserve"> </w:t>
      </w:r>
      <w:r w:rsidR="00C37BBB">
        <w:rPr>
          <w:szCs w:val="24"/>
        </w:rPr>
        <w:t>P</w:t>
      </w:r>
      <w:r w:rsidR="006D66D4">
        <w:rPr>
          <w:szCs w:val="24"/>
        </w:rPr>
        <w:t xml:space="preserve">eople were </w:t>
      </w:r>
      <w:r w:rsidR="00C37BBB">
        <w:rPr>
          <w:szCs w:val="24"/>
        </w:rPr>
        <w:t xml:space="preserve">apparently </w:t>
      </w:r>
      <w:r w:rsidR="006D66D4">
        <w:rPr>
          <w:szCs w:val="24"/>
        </w:rPr>
        <w:t xml:space="preserve">constructing buildings analogous to the houses at </w:t>
      </w:r>
      <w:r w:rsidR="006B170F">
        <w:rPr>
          <w:szCs w:val="24"/>
        </w:rPr>
        <w:t>later</w:t>
      </w:r>
      <w:r w:rsidR="006D66D4">
        <w:rPr>
          <w:szCs w:val="24"/>
        </w:rPr>
        <w:t xml:space="preserve"> large villages by at least the mid-Holocene. </w:t>
      </w:r>
      <w:r w:rsidR="006B170F">
        <w:rPr>
          <w:szCs w:val="24"/>
        </w:rPr>
        <w:t xml:space="preserve">This </w:t>
      </w:r>
      <w:r w:rsidR="008C5FF6">
        <w:rPr>
          <w:szCs w:val="24"/>
        </w:rPr>
        <w:t>suggests</w:t>
      </w:r>
      <w:r w:rsidR="006B170F">
        <w:rPr>
          <w:szCs w:val="24"/>
        </w:rPr>
        <w:t xml:space="preserve"> that the outer islands were not simply used for foraging forays by groups from the mainland, but rather were occupied for long portions of the year, if not year-round.</w:t>
      </w:r>
    </w:p>
    <w:p w14:paraId="5E8CED30" w14:textId="660B0FEB" w:rsidR="00C72134" w:rsidRDefault="0060344F" w:rsidP="005E1E4C">
      <w:pPr>
        <w:spacing w:after="0" w:line="480" w:lineRule="auto"/>
        <w:ind w:firstLine="720"/>
        <w:rPr>
          <w:szCs w:val="24"/>
        </w:rPr>
      </w:pPr>
      <w:r>
        <w:rPr>
          <w:szCs w:val="24"/>
        </w:rPr>
        <w:t>Further north in southeast Alaska</w:t>
      </w:r>
      <w:r w:rsidR="0033548B">
        <w:rPr>
          <w:szCs w:val="24"/>
        </w:rPr>
        <w:t xml:space="preserve"> (Figure 1)</w:t>
      </w:r>
      <w:r w:rsidR="00363A19">
        <w:rPr>
          <w:szCs w:val="24"/>
        </w:rPr>
        <w:t>,</w:t>
      </w:r>
      <w:r>
        <w:rPr>
          <w:szCs w:val="24"/>
        </w:rPr>
        <w:t xml:space="preserve"> recent surveys of raised shorelines</w:t>
      </w:r>
      <w:r w:rsidR="000E0706">
        <w:rPr>
          <w:szCs w:val="24"/>
        </w:rPr>
        <w:t xml:space="preserve"> on Prince of Wales Island, </w:t>
      </w:r>
      <w:proofErr w:type="spellStart"/>
      <w:r w:rsidR="000E0706">
        <w:rPr>
          <w:szCs w:val="24"/>
        </w:rPr>
        <w:t>Heceta</w:t>
      </w:r>
      <w:proofErr w:type="spellEnd"/>
      <w:r w:rsidR="000E0706">
        <w:rPr>
          <w:szCs w:val="24"/>
        </w:rPr>
        <w:t xml:space="preserve"> Island, and Kosciusko Island</w:t>
      </w:r>
      <w:r>
        <w:rPr>
          <w:szCs w:val="24"/>
        </w:rPr>
        <w:t xml:space="preserve"> have identified a rich record of microblade-bearing early Holocene occupation sites (Carlson 2012; Carlson and </w:t>
      </w:r>
      <w:proofErr w:type="spellStart"/>
      <w:r>
        <w:rPr>
          <w:szCs w:val="24"/>
        </w:rPr>
        <w:t>Baichtal</w:t>
      </w:r>
      <w:proofErr w:type="spellEnd"/>
      <w:r>
        <w:rPr>
          <w:szCs w:val="24"/>
        </w:rPr>
        <w:t xml:space="preserve"> 2015)</w:t>
      </w:r>
      <w:r w:rsidR="00A940AF">
        <w:rPr>
          <w:szCs w:val="24"/>
        </w:rPr>
        <w:t>, augmenting the record of several other previously studied early sites there, such as Hidden Falls (Davis 1989), Thorne River</w:t>
      </w:r>
      <w:r w:rsidR="008E265D">
        <w:rPr>
          <w:szCs w:val="24"/>
        </w:rPr>
        <w:t xml:space="preserve"> (Holmes et al. 1989)</w:t>
      </w:r>
      <w:r w:rsidR="00A940AF">
        <w:rPr>
          <w:szCs w:val="24"/>
        </w:rPr>
        <w:t>, On-Your-Knees Cave</w:t>
      </w:r>
      <w:r w:rsidR="008E265D">
        <w:rPr>
          <w:szCs w:val="24"/>
        </w:rPr>
        <w:t xml:space="preserve"> (Dixon et al. 1997)</w:t>
      </w:r>
      <w:r w:rsidR="00A940AF">
        <w:rPr>
          <w:szCs w:val="24"/>
        </w:rPr>
        <w:t>, and Chuck Lake (Ackerman et al. 1985)</w:t>
      </w:r>
      <w:r w:rsidR="008E265D">
        <w:rPr>
          <w:szCs w:val="24"/>
        </w:rPr>
        <w:t>.</w:t>
      </w:r>
      <w:r w:rsidR="00A940AF">
        <w:rPr>
          <w:szCs w:val="24"/>
        </w:rPr>
        <w:t xml:space="preserve"> </w:t>
      </w:r>
      <w:r w:rsidR="008E265D">
        <w:rPr>
          <w:szCs w:val="24"/>
        </w:rPr>
        <w:t xml:space="preserve">Notably, the </w:t>
      </w:r>
      <w:r w:rsidR="00A940AF">
        <w:rPr>
          <w:szCs w:val="24"/>
        </w:rPr>
        <w:t xml:space="preserve">Chuck Lake site on </w:t>
      </w:r>
      <w:proofErr w:type="spellStart"/>
      <w:r w:rsidR="00A940AF">
        <w:rPr>
          <w:szCs w:val="24"/>
        </w:rPr>
        <w:t>Heceta</w:t>
      </w:r>
      <w:proofErr w:type="spellEnd"/>
      <w:r w:rsidR="00A940AF">
        <w:rPr>
          <w:szCs w:val="24"/>
        </w:rPr>
        <w:t xml:space="preserve"> Island has </w:t>
      </w:r>
      <w:r w:rsidR="008E265D">
        <w:rPr>
          <w:szCs w:val="24"/>
        </w:rPr>
        <w:t>a shell-bearing deposit</w:t>
      </w:r>
      <w:r w:rsidR="00364E65">
        <w:rPr>
          <w:szCs w:val="24"/>
        </w:rPr>
        <w:t xml:space="preserve"> with a marine-dominated faunal asse</w:t>
      </w:r>
      <w:r w:rsidR="00F149A5">
        <w:rPr>
          <w:szCs w:val="24"/>
        </w:rPr>
        <w:t>m</w:t>
      </w:r>
      <w:r w:rsidR="00364E65">
        <w:rPr>
          <w:szCs w:val="24"/>
        </w:rPr>
        <w:t>blage</w:t>
      </w:r>
      <w:r w:rsidR="008E265D">
        <w:rPr>
          <w:szCs w:val="24"/>
        </w:rPr>
        <w:t xml:space="preserve"> dating between 7000 and 8000 </w:t>
      </w:r>
      <w:proofErr w:type="spellStart"/>
      <w:r w:rsidR="008E265D">
        <w:rPr>
          <w:szCs w:val="24"/>
        </w:rPr>
        <w:t>cal</w:t>
      </w:r>
      <w:proofErr w:type="spellEnd"/>
      <w:r w:rsidR="008E265D">
        <w:rPr>
          <w:szCs w:val="24"/>
        </w:rPr>
        <w:t xml:space="preserve"> </w:t>
      </w:r>
      <w:proofErr w:type="spellStart"/>
      <w:r w:rsidR="008E265D">
        <w:rPr>
          <w:szCs w:val="24"/>
        </w:rPr>
        <w:t>yr</w:t>
      </w:r>
      <w:proofErr w:type="spellEnd"/>
      <w:r w:rsidR="008E265D">
        <w:rPr>
          <w:szCs w:val="24"/>
        </w:rPr>
        <w:t xml:space="preserve"> BP</w:t>
      </w:r>
      <w:r w:rsidR="00364E65">
        <w:rPr>
          <w:szCs w:val="24"/>
        </w:rPr>
        <w:t xml:space="preserve"> (Moss 1998:99-100)</w:t>
      </w:r>
      <w:r>
        <w:rPr>
          <w:szCs w:val="24"/>
        </w:rPr>
        <w:t xml:space="preserve">. </w:t>
      </w:r>
      <w:r w:rsidR="00E110F7">
        <w:rPr>
          <w:szCs w:val="24"/>
        </w:rPr>
        <w:t xml:space="preserve">The majority of early Holocene sites identified by Carlson and </w:t>
      </w:r>
      <w:proofErr w:type="spellStart"/>
      <w:r w:rsidR="00E110F7">
        <w:rPr>
          <w:szCs w:val="24"/>
        </w:rPr>
        <w:t>Baichtal</w:t>
      </w:r>
      <w:proofErr w:type="spellEnd"/>
      <w:r w:rsidR="00E110F7">
        <w:rPr>
          <w:szCs w:val="24"/>
        </w:rPr>
        <w:t xml:space="preserve"> (2015), however, are not shell-bearing sites, whereas those on Dundas Islands, Lucy Islands, and Stephens Islands </w:t>
      </w:r>
      <w:r w:rsidR="00F149A5">
        <w:rPr>
          <w:szCs w:val="24"/>
        </w:rPr>
        <w:t>have</w:t>
      </w:r>
      <w:r w:rsidR="00E110F7">
        <w:rPr>
          <w:szCs w:val="24"/>
        </w:rPr>
        <w:t xml:space="preserve"> shell-bearing components.</w:t>
      </w:r>
      <w:r w:rsidR="00C72134">
        <w:rPr>
          <w:szCs w:val="24"/>
        </w:rPr>
        <w:t xml:space="preserve"> This may </w:t>
      </w:r>
      <w:r w:rsidR="00C323D1">
        <w:rPr>
          <w:szCs w:val="24"/>
        </w:rPr>
        <w:t>reflect</w:t>
      </w:r>
      <w:r w:rsidR="00C72134">
        <w:rPr>
          <w:szCs w:val="24"/>
        </w:rPr>
        <w:t xml:space="preserve"> </w:t>
      </w:r>
      <w:r w:rsidR="00F149A5">
        <w:rPr>
          <w:szCs w:val="24"/>
        </w:rPr>
        <w:t>different</w:t>
      </w:r>
      <w:r w:rsidR="00C72134">
        <w:rPr>
          <w:szCs w:val="24"/>
        </w:rPr>
        <w:t xml:space="preserve"> subsistence economies or different settlement and discard patterns between these regions.</w:t>
      </w:r>
      <w:r w:rsidR="00E110F7">
        <w:rPr>
          <w:szCs w:val="24"/>
        </w:rPr>
        <w:t xml:space="preserve"> </w:t>
      </w:r>
    </w:p>
    <w:p w14:paraId="3C64A54B" w14:textId="00DC04E4" w:rsidR="00A400E9" w:rsidRDefault="00426C67" w:rsidP="005E1E4C">
      <w:pPr>
        <w:spacing w:after="0" w:line="480" w:lineRule="auto"/>
        <w:ind w:firstLine="720"/>
        <w:rPr>
          <w:szCs w:val="24"/>
        </w:rPr>
      </w:pPr>
      <w:r>
        <w:rPr>
          <w:szCs w:val="24"/>
        </w:rPr>
        <w:t xml:space="preserve">The </w:t>
      </w:r>
      <w:r w:rsidR="00A400E9">
        <w:rPr>
          <w:szCs w:val="24"/>
        </w:rPr>
        <w:t>early Holocene occupation of these offshore islands and the well-recorded terminal Pleistocene and early Holocene occupation of Haida Gwaii even further offshore (</w:t>
      </w:r>
      <w:proofErr w:type="spellStart"/>
      <w:r w:rsidR="00A400E9">
        <w:rPr>
          <w:szCs w:val="24"/>
        </w:rPr>
        <w:t>Fedje</w:t>
      </w:r>
      <w:proofErr w:type="spellEnd"/>
      <w:r w:rsidR="00A400E9">
        <w:rPr>
          <w:szCs w:val="24"/>
        </w:rPr>
        <w:t xml:space="preserve"> and </w:t>
      </w:r>
      <w:proofErr w:type="spellStart"/>
      <w:r w:rsidR="00A400E9">
        <w:rPr>
          <w:szCs w:val="24"/>
        </w:rPr>
        <w:t>Mathewes</w:t>
      </w:r>
      <w:proofErr w:type="spellEnd"/>
      <w:r w:rsidR="00A400E9">
        <w:rPr>
          <w:szCs w:val="24"/>
        </w:rPr>
        <w:t xml:space="preserve"> 2005; Mackie et al. 2011) </w:t>
      </w:r>
      <w:r w:rsidR="00967A32">
        <w:rPr>
          <w:szCs w:val="24"/>
        </w:rPr>
        <w:t xml:space="preserve">suggest </w:t>
      </w:r>
      <w:r w:rsidR="00A400E9">
        <w:rPr>
          <w:szCs w:val="24"/>
        </w:rPr>
        <w:t xml:space="preserve">that the </w:t>
      </w:r>
      <w:r w:rsidR="00967A32">
        <w:rPr>
          <w:szCs w:val="24"/>
        </w:rPr>
        <w:t xml:space="preserve">early </w:t>
      </w:r>
      <w:r w:rsidR="00A400E9">
        <w:rPr>
          <w:szCs w:val="24"/>
        </w:rPr>
        <w:t xml:space="preserve">occupants of the </w:t>
      </w:r>
      <w:r w:rsidR="00C37BBB">
        <w:rPr>
          <w:szCs w:val="24"/>
        </w:rPr>
        <w:t>n</w:t>
      </w:r>
      <w:r w:rsidR="00610C2A">
        <w:rPr>
          <w:szCs w:val="24"/>
        </w:rPr>
        <w:t xml:space="preserve">orthern </w:t>
      </w:r>
      <w:r w:rsidR="00876BE9">
        <w:rPr>
          <w:szCs w:val="24"/>
        </w:rPr>
        <w:t xml:space="preserve">British Columbia </w:t>
      </w:r>
      <w:r w:rsidR="003B12F3">
        <w:rPr>
          <w:szCs w:val="24"/>
        </w:rPr>
        <w:t>c</w:t>
      </w:r>
      <w:r w:rsidR="00A400E9">
        <w:rPr>
          <w:szCs w:val="24"/>
        </w:rPr>
        <w:t xml:space="preserve">oast were </w:t>
      </w:r>
      <w:r w:rsidR="003B12F3">
        <w:rPr>
          <w:szCs w:val="24"/>
        </w:rPr>
        <w:t xml:space="preserve">proficient </w:t>
      </w:r>
      <w:r w:rsidR="00F35945">
        <w:rPr>
          <w:szCs w:val="24"/>
        </w:rPr>
        <w:t>maritime-oriented fisher-hunter-gatherers</w:t>
      </w:r>
      <w:r w:rsidR="00543932">
        <w:rPr>
          <w:szCs w:val="24"/>
        </w:rPr>
        <w:t xml:space="preserve">. </w:t>
      </w:r>
      <w:r w:rsidR="008E265D">
        <w:rPr>
          <w:szCs w:val="24"/>
        </w:rPr>
        <w:t xml:space="preserve">The increasing recognition of numerous early Holocene sites on </w:t>
      </w:r>
      <w:r w:rsidR="00424C83">
        <w:rPr>
          <w:szCs w:val="24"/>
        </w:rPr>
        <w:t xml:space="preserve">raised </w:t>
      </w:r>
      <w:proofErr w:type="spellStart"/>
      <w:r w:rsidR="00424C83">
        <w:rPr>
          <w:szCs w:val="24"/>
        </w:rPr>
        <w:t>paleoshorelines</w:t>
      </w:r>
      <w:proofErr w:type="spellEnd"/>
      <w:r w:rsidR="00424C83">
        <w:rPr>
          <w:szCs w:val="24"/>
        </w:rPr>
        <w:t xml:space="preserve"> on the islands off the </w:t>
      </w:r>
      <w:r w:rsidR="00424C83">
        <w:rPr>
          <w:szCs w:val="24"/>
        </w:rPr>
        <w:lastRenderedPageBreak/>
        <w:t xml:space="preserve">coast of southeast Alaska </w:t>
      </w:r>
      <w:r w:rsidR="00052519">
        <w:rPr>
          <w:szCs w:val="24"/>
        </w:rPr>
        <w:t xml:space="preserve">has led Carlson and </w:t>
      </w:r>
      <w:proofErr w:type="spellStart"/>
      <w:r w:rsidR="00052519">
        <w:rPr>
          <w:szCs w:val="24"/>
        </w:rPr>
        <w:t>Baichtal</w:t>
      </w:r>
      <w:proofErr w:type="spellEnd"/>
      <w:r w:rsidR="00052519">
        <w:rPr>
          <w:szCs w:val="24"/>
        </w:rPr>
        <w:t xml:space="preserve"> (2015) to suggest that </w:t>
      </w:r>
      <w:r w:rsidR="001F5FBB">
        <w:rPr>
          <w:szCs w:val="24"/>
        </w:rPr>
        <w:t xml:space="preserve">even </w:t>
      </w:r>
      <w:r w:rsidR="00363A19">
        <w:rPr>
          <w:szCs w:val="24"/>
        </w:rPr>
        <w:t>earlier</w:t>
      </w:r>
      <w:r w:rsidR="008645DA">
        <w:rPr>
          <w:szCs w:val="24"/>
        </w:rPr>
        <w:t>,</w:t>
      </w:r>
      <w:r w:rsidR="00363A19">
        <w:rPr>
          <w:szCs w:val="24"/>
        </w:rPr>
        <w:t xml:space="preserve"> during</w:t>
      </w:r>
      <w:r w:rsidR="001F5FBB">
        <w:rPr>
          <w:szCs w:val="24"/>
        </w:rPr>
        <w:t xml:space="preserve"> the terminal Pleistocene</w:t>
      </w:r>
      <w:r w:rsidR="00363A19">
        <w:rPr>
          <w:szCs w:val="24"/>
        </w:rPr>
        <w:t>, when relative sea level was lower,</w:t>
      </w:r>
      <w:r w:rsidR="001F5FBB">
        <w:rPr>
          <w:szCs w:val="24"/>
        </w:rPr>
        <w:t xml:space="preserve"> there were many people living in the region</w:t>
      </w:r>
      <w:r w:rsidR="006F15A3">
        <w:rPr>
          <w:szCs w:val="24"/>
        </w:rPr>
        <w:t>.</w:t>
      </w:r>
      <w:r w:rsidR="009C0A08">
        <w:rPr>
          <w:szCs w:val="24"/>
        </w:rPr>
        <w:t xml:space="preserve"> </w:t>
      </w:r>
      <w:r w:rsidR="006F15A3">
        <w:rPr>
          <w:szCs w:val="24"/>
        </w:rPr>
        <w:t>The remains of</w:t>
      </w:r>
      <w:r w:rsidR="009C0A08">
        <w:rPr>
          <w:szCs w:val="24"/>
        </w:rPr>
        <w:t xml:space="preserve"> </w:t>
      </w:r>
      <w:r w:rsidR="006F15A3">
        <w:rPr>
          <w:szCs w:val="24"/>
        </w:rPr>
        <w:t>this occupation would now be</w:t>
      </w:r>
      <w:r w:rsidR="009C0A08">
        <w:rPr>
          <w:szCs w:val="24"/>
        </w:rPr>
        <w:t xml:space="preserve"> submerged</w:t>
      </w:r>
      <w:r w:rsidR="00364E65">
        <w:rPr>
          <w:szCs w:val="24"/>
        </w:rPr>
        <w:t xml:space="preserve"> </w:t>
      </w:r>
      <w:r w:rsidR="006F15A3">
        <w:rPr>
          <w:szCs w:val="24"/>
        </w:rPr>
        <w:t>because of</w:t>
      </w:r>
      <w:r w:rsidR="00364E65">
        <w:rPr>
          <w:szCs w:val="24"/>
        </w:rPr>
        <w:t xml:space="preserve"> </w:t>
      </w:r>
      <w:proofErr w:type="spellStart"/>
      <w:r w:rsidR="006F15A3">
        <w:rPr>
          <w:szCs w:val="24"/>
        </w:rPr>
        <w:t>eustatic</w:t>
      </w:r>
      <w:proofErr w:type="spellEnd"/>
      <w:r w:rsidR="006F15A3">
        <w:rPr>
          <w:szCs w:val="24"/>
        </w:rPr>
        <w:t xml:space="preserve"> </w:t>
      </w:r>
      <w:r w:rsidR="00364E65">
        <w:rPr>
          <w:szCs w:val="24"/>
        </w:rPr>
        <w:t>sea level rise</w:t>
      </w:r>
      <w:r w:rsidR="006F15A3">
        <w:rPr>
          <w:szCs w:val="24"/>
        </w:rPr>
        <w:t xml:space="preserve"> and isostatic readjustments following deglaciation</w:t>
      </w:r>
      <w:r w:rsidR="00363A19">
        <w:rPr>
          <w:szCs w:val="24"/>
        </w:rPr>
        <w:t xml:space="preserve"> (see also Dixon and </w:t>
      </w:r>
      <w:proofErr w:type="spellStart"/>
      <w:r w:rsidR="00363A19">
        <w:rPr>
          <w:szCs w:val="24"/>
        </w:rPr>
        <w:t>Monteleone</w:t>
      </w:r>
      <w:proofErr w:type="spellEnd"/>
      <w:r w:rsidR="00363A19">
        <w:rPr>
          <w:szCs w:val="24"/>
        </w:rPr>
        <w:t xml:space="preserve"> 2014)</w:t>
      </w:r>
      <w:r w:rsidR="00364E65">
        <w:rPr>
          <w:szCs w:val="24"/>
        </w:rPr>
        <w:t>.</w:t>
      </w:r>
      <w:r w:rsidR="001F5FBB">
        <w:rPr>
          <w:szCs w:val="24"/>
        </w:rPr>
        <w:t xml:space="preserve"> </w:t>
      </w:r>
      <w:r w:rsidR="00967A32">
        <w:rPr>
          <w:szCs w:val="24"/>
        </w:rPr>
        <w:t>S</w:t>
      </w:r>
      <w:r w:rsidR="00543932">
        <w:rPr>
          <w:szCs w:val="24"/>
        </w:rPr>
        <w:t>ettlement and use of</w:t>
      </w:r>
      <w:r w:rsidR="00610C2A">
        <w:rPr>
          <w:szCs w:val="24"/>
        </w:rPr>
        <w:t xml:space="preserve"> what are considered to be</w:t>
      </w:r>
      <w:r w:rsidR="00543932">
        <w:rPr>
          <w:szCs w:val="24"/>
        </w:rPr>
        <w:t xml:space="preserve"> the </w:t>
      </w:r>
      <w:r w:rsidR="00610C2A">
        <w:rPr>
          <w:szCs w:val="24"/>
        </w:rPr>
        <w:t>‘</w:t>
      </w:r>
      <w:r w:rsidR="00543932">
        <w:rPr>
          <w:szCs w:val="24"/>
        </w:rPr>
        <w:t>peripheral</w:t>
      </w:r>
      <w:r w:rsidR="00610C2A">
        <w:rPr>
          <w:szCs w:val="24"/>
        </w:rPr>
        <w:t>’</w:t>
      </w:r>
      <w:r w:rsidR="00543932">
        <w:rPr>
          <w:szCs w:val="24"/>
        </w:rPr>
        <w:t xml:space="preserve"> </w:t>
      </w:r>
      <w:r w:rsidR="00610C2A">
        <w:rPr>
          <w:szCs w:val="24"/>
        </w:rPr>
        <w:t>‘</w:t>
      </w:r>
      <w:r w:rsidR="00543932">
        <w:rPr>
          <w:szCs w:val="24"/>
        </w:rPr>
        <w:t>edges</w:t>
      </w:r>
      <w:r w:rsidR="00610C2A">
        <w:rPr>
          <w:szCs w:val="24"/>
        </w:rPr>
        <w:t>’</w:t>
      </w:r>
      <w:r w:rsidR="00543932">
        <w:rPr>
          <w:szCs w:val="24"/>
        </w:rPr>
        <w:t xml:space="preserve"> of the coast appears to have been continuous</w:t>
      </w:r>
      <w:r w:rsidR="00364E65">
        <w:rPr>
          <w:szCs w:val="24"/>
        </w:rPr>
        <w:t xml:space="preserve"> and at times quite intensive</w:t>
      </w:r>
      <w:r w:rsidR="00543932">
        <w:rPr>
          <w:szCs w:val="24"/>
        </w:rPr>
        <w:t xml:space="preserve"> over the entire Holocene.</w:t>
      </w:r>
    </w:p>
    <w:p w14:paraId="598CCB9D" w14:textId="55A0C18E" w:rsidR="00D04352" w:rsidRDefault="008D7895" w:rsidP="005E1E4C">
      <w:pPr>
        <w:spacing w:after="0" w:line="480" w:lineRule="auto"/>
        <w:ind w:firstLine="720"/>
        <w:rPr>
          <w:szCs w:val="24"/>
          <w:lang w:val="en-GB"/>
        </w:rPr>
      </w:pPr>
      <w:r>
        <w:rPr>
          <w:szCs w:val="24"/>
        </w:rPr>
        <w:t xml:space="preserve">The picture of settlement patterns is clearer for the second half of the Holocene </w:t>
      </w:r>
      <w:r w:rsidR="00B95257">
        <w:rPr>
          <w:szCs w:val="24"/>
        </w:rPr>
        <w:t>due to</w:t>
      </w:r>
      <w:r>
        <w:rPr>
          <w:szCs w:val="24"/>
        </w:rPr>
        <w:t xml:space="preserve"> our larger sample of </w:t>
      </w:r>
      <w:r w:rsidR="00610C2A">
        <w:rPr>
          <w:szCs w:val="24"/>
        </w:rPr>
        <w:t xml:space="preserve">dated archaeological </w:t>
      </w:r>
      <w:r>
        <w:rPr>
          <w:szCs w:val="24"/>
        </w:rPr>
        <w:t xml:space="preserve">sites. </w:t>
      </w:r>
      <w:r w:rsidR="00DD5ED4">
        <w:rPr>
          <w:szCs w:val="24"/>
        </w:rPr>
        <w:t xml:space="preserve">Our entire dated sample of large villages </w:t>
      </w:r>
      <w:r w:rsidR="00157AD1">
        <w:rPr>
          <w:szCs w:val="24"/>
        </w:rPr>
        <w:t xml:space="preserve">was </w:t>
      </w:r>
      <w:r w:rsidR="00DD5ED4">
        <w:rPr>
          <w:szCs w:val="24"/>
        </w:rPr>
        <w:t xml:space="preserve">occupied at 2000 </w:t>
      </w:r>
      <w:proofErr w:type="spellStart"/>
      <w:r w:rsidR="00DD5ED4">
        <w:rPr>
          <w:szCs w:val="24"/>
        </w:rPr>
        <w:t>cal</w:t>
      </w:r>
      <w:proofErr w:type="spellEnd"/>
      <w:r w:rsidR="00DD5ED4">
        <w:rPr>
          <w:szCs w:val="24"/>
        </w:rPr>
        <w:t xml:space="preserve"> </w:t>
      </w:r>
      <w:proofErr w:type="spellStart"/>
      <w:r w:rsidR="00DD5ED4">
        <w:rPr>
          <w:szCs w:val="24"/>
        </w:rPr>
        <w:t>yr</w:t>
      </w:r>
      <w:proofErr w:type="spellEnd"/>
      <w:r w:rsidR="00DD5ED4">
        <w:rPr>
          <w:szCs w:val="24"/>
        </w:rPr>
        <w:t xml:space="preserve"> BP</w:t>
      </w:r>
      <w:r w:rsidR="00157AD1">
        <w:rPr>
          <w:szCs w:val="24"/>
        </w:rPr>
        <w:t>.</w:t>
      </w:r>
      <w:r w:rsidR="00DD5ED4">
        <w:rPr>
          <w:szCs w:val="24"/>
        </w:rPr>
        <w:t xml:space="preserve"> </w:t>
      </w:r>
      <w:r w:rsidR="00157AD1">
        <w:rPr>
          <w:szCs w:val="24"/>
        </w:rPr>
        <w:t>I</w:t>
      </w:r>
      <w:r w:rsidR="00F60901">
        <w:rPr>
          <w:szCs w:val="24"/>
        </w:rPr>
        <w:t xml:space="preserve">f all </w:t>
      </w:r>
      <w:r>
        <w:rPr>
          <w:szCs w:val="24"/>
        </w:rPr>
        <w:t>large villages</w:t>
      </w:r>
      <w:r w:rsidR="00157AD1">
        <w:rPr>
          <w:szCs w:val="24"/>
        </w:rPr>
        <w:t>,</w:t>
      </w:r>
      <w:r>
        <w:rPr>
          <w:szCs w:val="24"/>
        </w:rPr>
        <w:t xml:space="preserve"> </w:t>
      </w:r>
      <w:r w:rsidR="00157AD1">
        <w:rPr>
          <w:szCs w:val="24"/>
        </w:rPr>
        <w:t>with at least 197 house depressions</w:t>
      </w:r>
      <w:r w:rsidR="00A129FB">
        <w:rPr>
          <w:szCs w:val="24"/>
        </w:rPr>
        <w:t xml:space="preserve"> (Table 1)</w:t>
      </w:r>
      <w:r w:rsidR="00157AD1">
        <w:rPr>
          <w:szCs w:val="24"/>
        </w:rPr>
        <w:t xml:space="preserve">, </w:t>
      </w:r>
      <w:r w:rsidR="00F60901">
        <w:rPr>
          <w:szCs w:val="24"/>
        </w:rPr>
        <w:t>were</w:t>
      </w:r>
      <w:r>
        <w:rPr>
          <w:szCs w:val="24"/>
        </w:rPr>
        <w:t xml:space="preserve"> contemporaneously occupied</w:t>
      </w:r>
      <w:r w:rsidR="00F60901">
        <w:rPr>
          <w:szCs w:val="24"/>
        </w:rPr>
        <w:t>,</w:t>
      </w:r>
      <w:r>
        <w:rPr>
          <w:szCs w:val="24"/>
        </w:rPr>
        <w:t xml:space="preserve"> </w:t>
      </w:r>
      <w:r w:rsidR="0083305F">
        <w:rPr>
          <w:szCs w:val="24"/>
        </w:rPr>
        <w:t>the population of the area would have been significant.</w:t>
      </w:r>
      <w:r>
        <w:rPr>
          <w:szCs w:val="24"/>
        </w:rPr>
        <w:t xml:space="preserve"> </w:t>
      </w:r>
      <w:r w:rsidR="0083305F">
        <w:rPr>
          <w:szCs w:val="24"/>
        </w:rPr>
        <w:t>In addition, v</w:t>
      </w:r>
      <w:r w:rsidR="007C4F83">
        <w:rPr>
          <w:szCs w:val="24"/>
        </w:rPr>
        <w:t>illages with different architectural layouts were occupied contemporaneously during this late period. Tsimshian oral histories make reference to groups of foreigners from the north moving to the Dundas Islands and at times cohabiting with the Tsimshian residents (Marsden 200</w:t>
      </w:r>
      <w:r w:rsidR="005559B0">
        <w:rPr>
          <w:szCs w:val="24"/>
        </w:rPr>
        <w:t>0</w:t>
      </w:r>
      <w:r w:rsidR="007C4F83">
        <w:rPr>
          <w:szCs w:val="24"/>
        </w:rPr>
        <w:t>); Martindale and Marsden (2003) suggest that this may have occurred between 3500 and 2500 BP. One explanation for the existence of different village layouts is that these belong to different cultural groups inhabiting the islands; villages with straight rows and the largest houses in the front-</w:t>
      </w:r>
      <w:r w:rsidR="0094189C">
        <w:rPr>
          <w:szCs w:val="24"/>
        </w:rPr>
        <w:t>cent</w:t>
      </w:r>
      <w:r w:rsidR="00F80FB1">
        <w:rPr>
          <w:szCs w:val="24"/>
        </w:rPr>
        <w:t>re</w:t>
      </w:r>
      <w:r w:rsidR="007C4F83">
        <w:rPr>
          <w:szCs w:val="24"/>
        </w:rPr>
        <w:t xml:space="preserve"> appear most similar to </w:t>
      </w:r>
      <w:r w:rsidR="00F80FB1">
        <w:rPr>
          <w:szCs w:val="24"/>
        </w:rPr>
        <w:t>those</w:t>
      </w:r>
      <w:r w:rsidR="007C4F83">
        <w:rPr>
          <w:szCs w:val="24"/>
        </w:rPr>
        <w:t xml:space="preserve"> in Prince Rupert Harbour.</w:t>
      </w:r>
      <w:r w:rsidR="00D04352">
        <w:rPr>
          <w:szCs w:val="24"/>
        </w:rPr>
        <w:t xml:space="preserve"> </w:t>
      </w:r>
      <w:r w:rsidR="00E9756C">
        <w:rPr>
          <w:szCs w:val="24"/>
        </w:rPr>
        <w:t>Furthermore, this is known to have been a time when many of the large villages in the Prince Rupert Harbour were contemporaneously occupied, making it one of the most densely occupied regions of the northern coast (Ames and Martindale 2014; Archer 2001; MacDonald and Inglis 1981).</w:t>
      </w:r>
      <w:r w:rsidR="006D719A">
        <w:rPr>
          <w:szCs w:val="24"/>
        </w:rPr>
        <w:t xml:space="preserve"> </w:t>
      </w:r>
      <w:r w:rsidR="00D04352" w:rsidRPr="00A66575">
        <w:rPr>
          <w:szCs w:val="24"/>
          <w:lang w:val="en-GB"/>
        </w:rPr>
        <w:t xml:space="preserve">Spatially, </w:t>
      </w:r>
      <w:r w:rsidR="00E9756C">
        <w:rPr>
          <w:szCs w:val="24"/>
          <w:lang w:val="en-GB"/>
        </w:rPr>
        <w:t>the Dundas Islands</w:t>
      </w:r>
      <w:r w:rsidR="00E9756C" w:rsidRPr="00A66575">
        <w:rPr>
          <w:szCs w:val="24"/>
          <w:lang w:val="en-GB"/>
        </w:rPr>
        <w:t xml:space="preserve"> </w:t>
      </w:r>
      <w:r w:rsidR="00D04352" w:rsidRPr="00A66575">
        <w:rPr>
          <w:szCs w:val="24"/>
          <w:lang w:val="en-GB"/>
        </w:rPr>
        <w:t xml:space="preserve">villages cluster on islets </w:t>
      </w:r>
      <w:r w:rsidR="001E33F6">
        <w:rPr>
          <w:szCs w:val="24"/>
          <w:lang w:val="en-GB"/>
        </w:rPr>
        <w:t>along</w:t>
      </w:r>
      <w:r w:rsidR="001E33F6" w:rsidRPr="00A66575">
        <w:rPr>
          <w:szCs w:val="24"/>
          <w:lang w:val="en-GB"/>
        </w:rPr>
        <w:t xml:space="preserve"> </w:t>
      </w:r>
      <w:r w:rsidR="00D04352" w:rsidRPr="00A66575">
        <w:rPr>
          <w:szCs w:val="24"/>
          <w:lang w:val="en-GB"/>
        </w:rPr>
        <w:t>the three passes between the major islands (</w:t>
      </w:r>
      <w:r w:rsidR="00D04352" w:rsidRPr="00A129FB">
        <w:rPr>
          <w:szCs w:val="24"/>
          <w:lang w:val="en-GB"/>
        </w:rPr>
        <w:t xml:space="preserve">Figure </w:t>
      </w:r>
      <w:r w:rsidR="00650AD6" w:rsidRPr="00A129FB">
        <w:rPr>
          <w:szCs w:val="24"/>
          <w:lang w:val="en-GB"/>
        </w:rPr>
        <w:t>2</w:t>
      </w:r>
      <w:r w:rsidR="00D04352" w:rsidRPr="00A66575">
        <w:rPr>
          <w:szCs w:val="24"/>
          <w:lang w:val="en-GB"/>
        </w:rPr>
        <w:t xml:space="preserve">). All three passes run roughly east-west through the archipelago. All large villages are located near large intertidal areas, and many are </w:t>
      </w:r>
      <w:r w:rsidR="001E33F6">
        <w:rPr>
          <w:szCs w:val="24"/>
          <w:lang w:val="en-GB"/>
        </w:rPr>
        <w:t>in</w:t>
      </w:r>
      <w:r w:rsidR="00D04352" w:rsidRPr="00A66575">
        <w:rPr>
          <w:szCs w:val="24"/>
          <w:lang w:val="en-GB"/>
        </w:rPr>
        <w:t xml:space="preserve"> semi-protected areas with multiple points of beach </w:t>
      </w:r>
      <w:r w:rsidR="00D04352" w:rsidRPr="00A66575">
        <w:rPr>
          <w:szCs w:val="24"/>
          <w:lang w:val="en-GB"/>
        </w:rPr>
        <w:lastRenderedPageBreak/>
        <w:t>access.</w:t>
      </w:r>
      <w:r w:rsidR="00D04352">
        <w:rPr>
          <w:szCs w:val="24"/>
          <w:lang w:val="en-GB"/>
        </w:rPr>
        <w:t xml:space="preserve"> In Prince Rupert Harbour, a large number of contemporaneously occupied villages cluster in the passes that lead into the inner harbour (Ames 2005; Supernant and Cookson 2014).</w:t>
      </w:r>
      <w:r w:rsidR="00D04352" w:rsidRPr="00A66575">
        <w:rPr>
          <w:szCs w:val="24"/>
          <w:lang w:val="en-GB"/>
        </w:rPr>
        <w:t xml:space="preserve"> It is tempting to assume that </w:t>
      </w:r>
      <w:r w:rsidR="00D04352" w:rsidRPr="00A66575">
        <w:rPr>
          <w:szCs w:val="24"/>
        </w:rPr>
        <w:t>the functional value of these locations simply creates the cultural tradition. However, settlement patterns in Tlingit territory to the north</w:t>
      </w:r>
      <w:r w:rsidR="006B3D8C">
        <w:rPr>
          <w:szCs w:val="24"/>
        </w:rPr>
        <w:t xml:space="preserve"> and Haida Gwaii to the southwest</w:t>
      </w:r>
      <w:r w:rsidR="00D04352" w:rsidRPr="00A66575">
        <w:rPr>
          <w:szCs w:val="24"/>
        </w:rPr>
        <w:t xml:space="preserve"> </w:t>
      </w:r>
      <w:r w:rsidR="006B3D8C">
        <w:rPr>
          <w:szCs w:val="24"/>
        </w:rPr>
        <w:t xml:space="preserve">are </w:t>
      </w:r>
      <w:r w:rsidR="00D04352" w:rsidRPr="00A66575">
        <w:rPr>
          <w:szCs w:val="24"/>
        </w:rPr>
        <w:t xml:space="preserve">in similar landscapes </w:t>
      </w:r>
      <w:r w:rsidR="001E33F6">
        <w:rPr>
          <w:szCs w:val="24"/>
        </w:rPr>
        <w:t xml:space="preserve">yet </w:t>
      </w:r>
      <w:r w:rsidR="00D04352" w:rsidRPr="00A66575">
        <w:rPr>
          <w:szCs w:val="24"/>
        </w:rPr>
        <w:t>are quite different</w:t>
      </w:r>
      <w:r w:rsidR="006B3D8C">
        <w:rPr>
          <w:szCs w:val="24"/>
        </w:rPr>
        <w:t xml:space="preserve"> </w:t>
      </w:r>
      <w:r w:rsidR="00D04352" w:rsidRPr="00A66575">
        <w:rPr>
          <w:szCs w:val="24"/>
        </w:rPr>
        <w:t>(</w:t>
      </w:r>
      <w:r w:rsidR="006B3D8C">
        <w:rPr>
          <w:szCs w:val="24"/>
        </w:rPr>
        <w:t xml:space="preserve">Acheson 2005; </w:t>
      </w:r>
      <w:r w:rsidR="00D04352" w:rsidRPr="00A66575">
        <w:rPr>
          <w:szCs w:val="24"/>
        </w:rPr>
        <w:t xml:space="preserve">Maschner 1997). </w:t>
      </w:r>
      <w:r w:rsidR="00D04352" w:rsidRPr="00A66575">
        <w:rPr>
          <w:szCs w:val="24"/>
          <w:lang w:val="en-GB"/>
        </w:rPr>
        <w:t xml:space="preserve"> </w:t>
      </w:r>
    </w:p>
    <w:p w14:paraId="096C1D2E" w14:textId="259C8B6A" w:rsidR="001C6E79" w:rsidRDefault="00D04352" w:rsidP="005E1E4C">
      <w:pPr>
        <w:spacing w:after="0" w:line="480" w:lineRule="auto"/>
        <w:ind w:firstLine="720"/>
        <w:rPr>
          <w:szCs w:val="24"/>
          <w:lang w:val="en-GB"/>
        </w:rPr>
      </w:pPr>
      <w:r>
        <w:rPr>
          <w:szCs w:val="24"/>
          <w:lang w:val="en-GB"/>
        </w:rPr>
        <w:t>Seasonality studies based on oxygen isotope analysis and high resolution growth ring analyses of</w:t>
      </w:r>
      <w:r w:rsidR="00483D4D">
        <w:rPr>
          <w:szCs w:val="24"/>
          <w:lang w:val="en-GB"/>
        </w:rPr>
        <w:t xml:space="preserve"> twenty-seven </w:t>
      </w:r>
      <w:r>
        <w:rPr>
          <w:szCs w:val="24"/>
          <w:lang w:val="en-GB"/>
        </w:rPr>
        <w:t>butter clam (</w:t>
      </w:r>
      <w:proofErr w:type="spellStart"/>
      <w:r>
        <w:rPr>
          <w:i/>
          <w:szCs w:val="24"/>
          <w:lang w:val="en-GB"/>
        </w:rPr>
        <w:t>Saxidomus</w:t>
      </w:r>
      <w:proofErr w:type="spellEnd"/>
      <w:r>
        <w:rPr>
          <w:i/>
          <w:szCs w:val="24"/>
          <w:lang w:val="en-GB"/>
        </w:rPr>
        <w:t xml:space="preserve"> </w:t>
      </w:r>
      <w:proofErr w:type="spellStart"/>
      <w:r>
        <w:rPr>
          <w:i/>
          <w:szCs w:val="24"/>
          <w:lang w:val="en-GB"/>
        </w:rPr>
        <w:t>gigantea</w:t>
      </w:r>
      <w:proofErr w:type="spellEnd"/>
      <w:r>
        <w:rPr>
          <w:szCs w:val="24"/>
          <w:lang w:val="en-GB"/>
        </w:rPr>
        <w:t>)</w:t>
      </w:r>
      <w:r w:rsidR="00483D4D">
        <w:rPr>
          <w:szCs w:val="24"/>
          <w:lang w:val="en-GB"/>
        </w:rPr>
        <w:t xml:space="preserve"> shells</w:t>
      </w:r>
      <w:r>
        <w:rPr>
          <w:szCs w:val="24"/>
          <w:lang w:val="en-GB"/>
        </w:rPr>
        <w:t xml:space="preserve"> from a range of Dundas Islands sites indicate that shellfish were </w:t>
      </w:r>
      <w:r w:rsidR="003E052C">
        <w:rPr>
          <w:szCs w:val="24"/>
          <w:lang w:val="en-GB"/>
        </w:rPr>
        <w:t xml:space="preserve">intensively </w:t>
      </w:r>
      <w:r>
        <w:rPr>
          <w:szCs w:val="24"/>
          <w:lang w:val="en-GB"/>
        </w:rPr>
        <w:t>collected during all seasons</w:t>
      </w:r>
      <w:r w:rsidR="001E33F6">
        <w:rPr>
          <w:szCs w:val="24"/>
          <w:lang w:val="en-GB"/>
        </w:rPr>
        <w:t>,</w:t>
      </w:r>
      <w:r w:rsidR="00685588">
        <w:rPr>
          <w:szCs w:val="24"/>
          <w:lang w:val="en-GB"/>
        </w:rPr>
        <w:t xml:space="preserve"> revealing</w:t>
      </w:r>
      <w:r>
        <w:rPr>
          <w:szCs w:val="24"/>
          <w:lang w:val="en-GB"/>
        </w:rPr>
        <w:t xml:space="preserve"> that occupation of these sites was year-round and subsistence was heavily based on shellfish consumption (Hallman et al. 2013). </w:t>
      </w:r>
      <w:r w:rsidR="0033548B">
        <w:rPr>
          <w:szCs w:val="24"/>
          <w:lang w:val="en-GB"/>
        </w:rPr>
        <w:t>Importantly, this finding applied</w:t>
      </w:r>
      <w:r w:rsidR="00015148">
        <w:rPr>
          <w:szCs w:val="24"/>
          <w:lang w:val="en-GB"/>
        </w:rPr>
        <w:t xml:space="preserve"> to sites from both the early and late Holocene and</w:t>
      </w:r>
      <w:r>
        <w:rPr>
          <w:szCs w:val="24"/>
          <w:lang w:val="en-GB"/>
        </w:rPr>
        <w:t xml:space="preserve"> to both large villages and small shell-bearing sites</w:t>
      </w:r>
      <w:r w:rsidR="0033548B">
        <w:rPr>
          <w:szCs w:val="24"/>
          <w:lang w:val="en-GB"/>
        </w:rPr>
        <w:t>, though these conclusions should be tested with a larger sample of shells</w:t>
      </w:r>
      <w:r w:rsidR="00015148">
        <w:rPr>
          <w:szCs w:val="24"/>
          <w:lang w:val="en-GB"/>
        </w:rPr>
        <w:t>.</w:t>
      </w:r>
      <w:r w:rsidR="00483D4D">
        <w:rPr>
          <w:szCs w:val="24"/>
          <w:lang w:val="en-GB"/>
        </w:rPr>
        <w:t xml:space="preserve"> These results</w:t>
      </w:r>
      <w:r w:rsidR="00015148">
        <w:rPr>
          <w:szCs w:val="24"/>
          <w:lang w:val="en-GB"/>
        </w:rPr>
        <w:t xml:space="preserve"> suggest a degree of continuity </w:t>
      </w:r>
      <w:r w:rsidR="001E33F6">
        <w:rPr>
          <w:szCs w:val="24"/>
          <w:lang w:val="en-GB"/>
        </w:rPr>
        <w:t xml:space="preserve">in </w:t>
      </w:r>
      <w:r w:rsidR="00015148">
        <w:rPr>
          <w:szCs w:val="24"/>
          <w:lang w:val="en-GB"/>
        </w:rPr>
        <w:t xml:space="preserve">subsistence practice even when settlement patterns changed and larger populations occupied the islands. </w:t>
      </w:r>
    </w:p>
    <w:p w14:paraId="357B0FB0" w14:textId="5F74B72B" w:rsidR="00D04352" w:rsidRDefault="00015148" w:rsidP="005E1E4C">
      <w:pPr>
        <w:spacing w:after="0" w:line="480" w:lineRule="auto"/>
        <w:ind w:firstLine="720"/>
        <w:rPr>
          <w:szCs w:val="24"/>
          <w:lang w:val="en-GB"/>
        </w:rPr>
      </w:pPr>
      <w:r>
        <w:rPr>
          <w:szCs w:val="24"/>
          <w:lang w:val="en-GB"/>
        </w:rPr>
        <w:t xml:space="preserve">In contrast, results from sites in Prince Rupert Harbour suggest seasonally focused </w:t>
      </w:r>
      <w:r w:rsidR="00540417">
        <w:rPr>
          <w:szCs w:val="24"/>
          <w:lang w:val="en-GB"/>
        </w:rPr>
        <w:t>shellfish exploitation during</w:t>
      </w:r>
      <w:r>
        <w:rPr>
          <w:szCs w:val="24"/>
          <w:lang w:val="en-GB"/>
        </w:rPr>
        <w:t xml:space="preserve"> the autumn and spring (</w:t>
      </w:r>
      <w:proofErr w:type="spellStart"/>
      <w:r>
        <w:rPr>
          <w:szCs w:val="24"/>
          <w:lang w:val="en-GB"/>
        </w:rPr>
        <w:t>Burchell</w:t>
      </w:r>
      <w:proofErr w:type="spellEnd"/>
      <w:r>
        <w:rPr>
          <w:szCs w:val="24"/>
          <w:lang w:val="en-GB"/>
        </w:rPr>
        <w:t xml:space="preserve"> et al. 2013</w:t>
      </w:r>
      <w:r w:rsidR="00FD283A">
        <w:rPr>
          <w:szCs w:val="24"/>
          <w:lang w:val="en-GB"/>
        </w:rPr>
        <w:t>; see also Coupland et al. 1993</w:t>
      </w:r>
      <w:r>
        <w:rPr>
          <w:szCs w:val="24"/>
          <w:lang w:val="en-GB"/>
        </w:rPr>
        <w:t>).</w:t>
      </w:r>
      <w:r w:rsidR="003E052C">
        <w:rPr>
          <w:szCs w:val="24"/>
          <w:lang w:val="en-GB"/>
        </w:rPr>
        <w:t xml:space="preserve"> </w:t>
      </w:r>
      <w:proofErr w:type="spellStart"/>
      <w:r w:rsidR="003E052C">
        <w:rPr>
          <w:szCs w:val="24"/>
          <w:lang w:val="en-GB"/>
        </w:rPr>
        <w:t>Burchell</w:t>
      </w:r>
      <w:proofErr w:type="spellEnd"/>
      <w:r w:rsidR="003E052C">
        <w:rPr>
          <w:szCs w:val="24"/>
          <w:lang w:val="en-GB"/>
        </w:rPr>
        <w:t xml:space="preserve"> et al. (2013) </w:t>
      </w:r>
      <w:r w:rsidR="00540417">
        <w:rPr>
          <w:szCs w:val="24"/>
          <w:lang w:val="en-GB"/>
        </w:rPr>
        <w:t xml:space="preserve">also suggest less intensive shellfish exploitation in the Prince Rupert Harbour based on the age profiles of a small sample of shellfish from </w:t>
      </w:r>
      <w:r w:rsidR="006F0D92">
        <w:rPr>
          <w:szCs w:val="24"/>
          <w:lang w:val="en-GB"/>
        </w:rPr>
        <w:t xml:space="preserve">four </w:t>
      </w:r>
      <w:r w:rsidR="00540417">
        <w:rPr>
          <w:szCs w:val="24"/>
          <w:lang w:val="en-GB"/>
        </w:rPr>
        <w:t>sites</w:t>
      </w:r>
      <w:r w:rsidR="00157AD1">
        <w:rPr>
          <w:szCs w:val="24"/>
          <w:lang w:val="en-GB"/>
        </w:rPr>
        <w:t>, although</w:t>
      </w:r>
      <w:r w:rsidR="00540417">
        <w:rPr>
          <w:szCs w:val="24"/>
          <w:lang w:val="en-GB"/>
        </w:rPr>
        <w:t xml:space="preserve"> the large heaps of shell that comprise the large sites there suggest otherwise.</w:t>
      </w:r>
      <w:r w:rsidR="00F60DF8">
        <w:rPr>
          <w:szCs w:val="24"/>
          <w:lang w:val="en-GB"/>
        </w:rPr>
        <w:t xml:space="preserve"> </w:t>
      </w:r>
      <w:r w:rsidR="00543E14">
        <w:rPr>
          <w:szCs w:val="24"/>
          <w:lang w:val="en-GB"/>
        </w:rPr>
        <w:t xml:space="preserve">In an analysis of auger samples from eighteen sites on the Dundas Islands, </w:t>
      </w:r>
      <w:r w:rsidR="00F60DF8" w:rsidRPr="00F60DF8">
        <w:rPr>
          <w:szCs w:val="24"/>
          <w:lang w:val="en-GB"/>
        </w:rPr>
        <w:t>Brewster and Martindale (2011) found a comparatively low density of fish remains compared to Prince Rupert Harbour</w:t>
      </w:r>
      <w:r w:rsidR="00F60DF8">
        <w:rPr>
          <w:szCs w:val="24"/>
          <w:lang w:val="en-GB"/>
        </w:rPr>
        <w:t xml:space="preserve"> and the Fitz Hugh </w:t>
      </w:r>
      <w:r w:rsidR="006F7A66">
        <w:rPr>
          <w:szCs w:val="24"/>
          <w:lang w:val="en-GB"/>
        </w:rPr>
        <w:t xml:space="preserve">Sound </w:t>
      </w:r>
      <w:r w:rsidR="00F60DF8">
        <w:rPr>
          <w:szCs w:val="24"/>
          <w:lang w:val="en-GB"/>
        </w:rPr>
        <w:t>region further south.</w:t>
      </w:r>
      <w:r w:rsidR="00F60DF8" w:rsidRPr="00F60DF8">
        <w:rPr>
          <w:szCs w:val="24"/>
          <w:lang w:val="en-GB"/>
        </w:rPr>
        <w:t xml:space="preserve"> </w:t>
      </w:r>
      <w:r w:rsidR="00543E14">
        <w:rPr>
          <w:szCs w:val="24"/>
          <w:lang w:val="en-GB"/>
        </w:rPr>
        <w:t>They</w:t>
      </w:r>
      <w:r w:rsidR="00F60DF8" w:rsidRPr="00F60DF8">
        <w:rPr>
          <w:szCs w:val="24"/>
          <w:lang w:val="en-GB"/>
        </w:rPr>
        <w:t xml:space="preserve"> hypothesize that the relative dearth of fish may be due to the distance from the Skeena and Nass Rivers, where salmon and eulachon were abundant.</w:t>
      </w:r>
      <w:r w:rsidR="00F60DF8" w:rsidRPr="00F60DF8">
        <w:rPr>
          <w:szCs w:val="24"/>
          <w:lang w:val="en-CA"/>
        </w:rPr>
        <w:t xml:space="preserve"> </w:t>
      </w:r>
      <w:r w:rsidR="00543E14">
        <w:rPr>
          <w:szCs w:val="24"/>
          <w:lang w:val="en-CA"/>
        </w:rPr>
        <w:lastRenderedPageBreak/>
        <w:t xml:space="preserve">However, McLaren (2008:250) found thousands of fish remains in a one metre by one metre excavation at GcTr-6 immediately adjacent to an auger sample that yielded </w:t>
      </w:r>
      <w:r w:rsidR="00646E4C">
        <w:rPr>
          <w:szCs w:val="24"/>
          <w:lang w:val="en-CA"/>
        </w:rPr>
        <w:t xml:space="preserve">only </w:t>
      </w:r>
      <w:r w:rsidR="00543E14">
        <w:rPr>
          <w:szCs w:val="24"/>
          <w:lang w:val="en-CA"/>
        </w:rPr>
        <w:t>fourteen fish bones (Brewster and Martindale 2011:258), suggesting that the conclusion that fish are less abundant on the Dundas Islands requires further testing, especially given that the published faunal samples from Prince Rupert Harbour were recovered through excavation (Ames 2005; Coupland et al. 1993</w:t>
      </w:r>
      <w:r w:rsidR="006F0D92">
        <w:rPr>
          <w:szCs w:val="24"/>
          <w:lang w:val="en-CA"/>
        </w:rPr>
        <w:t>, 2010</w:t>
      </w:r>
      <w:r w:rsidR="00543E14">
        <w:rPr>
          <w:szCs w:val="24"/>
          <w:lang w:val="en-CA"/>
        </w:rPr>
        <w:t>; Stewart and Stewart 2001; Stewart et al. 2009).</w:t>
      </w:r>
      <w:r w:rsidR="00ED463A">
        <w:rPr>
          <w:szCs w:val="24"/>
          <w:lang w:val="en-CA"/>
        </w:rPr>
        <w:t xml:space="preserve"> Patton et al. (2012) caution against comparisons of faunal remain densities between sites in different regions that do not take into account the effects of different site matrices on faunal remain densities; one effect of intensive shellfish consumption and shell discard at the Dundas Islands villages would be to reduce the relative number of bones per unit of excavated volume.</w:t>
      </w:r>
      <w:r w:rsidR="00543E14">
        <w:rPr>
          <w:szCs w:val="24"/>
          <w:lang w:val="en-CA"/>
        </w:rPr>
        <w:t xml:space="preserve"> </w:t>
      </w:r>
      <w:r w:rsidR="00EF0223">
        <w:rPr>
          <w:szCs w:val="24"/>
          <w:lang w:val="en-CA"/>
        </w:rPr>
        <w:t>However, b</w:t>
      </w:r>
      <w:r w:rsidR="00543E14">
        <w:rPr>
          <w:szCs w:val="24"/>
          <w:lang w:val="en-CA"/>
        </w:rPr>
        <w:t xml:space="preserve">oth Brewster and Martindale (2011) and McLaren (2008) record relatively low numbers of salmon from the overall fish population, </w:t>
      </w:r>
      <w:r w:rsidR="00ED463A">
        <w:rPr>
          <w:szCs w:val="24"/>
          <w:lang w:val="en-CA"/>
        </w:rPr>
        <w:t>whereas Coupland et al. (2010) found a predominance of salmon at sites in Prince Rupert Harbour,</w:t>
      </w:r>
      <w:r w:rsidR="00543E14">
        <w:rPr>
          <w:szCs w:val="24"/>
          <w:lang w:val="en-CA"/>
        </w:rPr>
        <w:t xml:space="preserve"> suggesting that there was </w:t>
      </w:r>
      <w:r w:rsidR="00ED463A">
        <w:rPr>
          <w:szCs w:val="24"/>
          <w:lang w:val="en-CA"/>
        </w:rPr>
        <w:t>some real difference between types of fish acquired in the two regions.</w:t>
      </w:r>
      <w:r w:rsidR="003E052C">
        <w:rPr>
          <w:szCs w:val="24"/>
          <w:lang w:val="en-GB"/>
        </w:rPr>
        <w:t xml:space="preserve">The </w:t>
      </w:r>
      <w:r w:rsidR="00ED463A">
        <w:rPr>
          <w:szCs w:val="24"/>
          <w:lang w:val="en-GB"/>
        </w:rPr>
        <w:t xml:space="preserve">overall picture from these studies is that </w:t>
      </w:r>
      <w:r w:rsidR="00FD283A">
        <w:rPr>
          <w:szCs w:val="24"/>
          <w:lang w:val="en-GB"/>
        </w:rPr>
        <w:t xml:space="preserve">occupants of the </w:t>
      </w:r>
      <w:r w:rsidR="003E052C">
        <w:rPr>
          <w:szCs w:val="24"/>
          <w:lang w:val="en-GB"/>
        </w:rPr>
        <w:t xml:space="preserve">Dundas Islands relied </w:t>
      </w:r>
      <w:r w:rsidR="00FD283A">
        <w:rPr>
          <w:szCs w:val="24"/>
          <w:lang w:val="en-GB"/>
        </w:rPr>
        <w:t>heavily on</w:t>
      </w:r>
      <w:r w:rsidR="003E052C">
        <w:rPr>
          <w:szCs w:val="24"/>
          <w:lang w:val="en-GB"/>
        </w:rPr>
        <w:t xml:space="preserve"> bivalves gathered from the extensive tidal flats of the archipelago</w:t>
      </w:r>
      <w:r w:rsidR="00FD283A">
        <w:rPr>
          <w:szCs w:val="24"/>
          <w:lang w:val="en-GB"/>
        </w:rPr>
        <w:t xml:space="preserve"> and had </w:t>
      </w:r>
      <w:r w:rsidR="006F0D92">
        <w:rPr>
          <w:szCs w:val="24"/>
          <w:lang w:val="en-GB"/>
        </w:rPr>
        <w:t>different</w:t>
      </w:r>
      <w:r w:rsidR="00FD283A">
        <w:rPr>
          <w:szCs w:val="24"/>
          <w:lang w:val="en-GB"/>
        </w:rPr>
        <w:t xml:space="preserve"> access to resources than the </w:t>
      </w:r>
      <w:r w:rsidR="00646E4C">
        <w:rPr>
          <w:szCs w:val="24"/>
          <w:lang w:val="en-GB"/>
        </w:rPr>
        <w:t xml:space="preserve">inhabitants </w:t>
      </w:r>
      <w:r w:rsidR="00FD283A">
        <w:rPr>
          <w:szCs w:val="24"/>
          <w:lang w:val="en-GB"/>
        </w:rPr>
        <w:t>of Prince Rupert Harbour (Brewster and Martindale 201</w:t>
      </w:r>
      <w:r w:rsidR="00632522">
        <w:rPr>
          <w:szCs w:val="24"/>
          <w:lang w:val="en-GB"/>
        </w:rPr>
        <w:t>1</w:t>
      </w:r>
      <w:r w:rsidR="00FD283A">
        <w:rPr>
          <w:szCs w:val="24"/>
          <w:lang w:val="en-GB"/>
        </w:rPr>
        <w:t xml:space="preserve">; </w:t>
      </w:r>
      <w:proofErr w:type="spellStart"/>
      <w:r w:rsidR="00FD283A">
        <w:rPr>
          <w:szCs w:val="24"/>
          <w:lang w:val="en-GB"/>
        </w:rPr>
        <w:t>Burchell</w:t>
      </w:r>
      <w:proofErr w:type="spellEnd"/>
      <w:r w:rsidR="00FD283A">
        <w:rPr>
          <w:szCs w:val="24"/>
          <w:lang w:val="en-GB"/>
        </w:rPr>
        <w:t xml:space="preserve"> et al. 2013)</w:t>
      </w:r>
      <w:r w:rsidR="003E052C">
        <w:rPr>
          <w:szCs w:val="24"/>
          <w:lang w:val="en-GB"/>
        </w:rPr>
        <w:t xml:space="preserve">. Furthermore, the seasonality studies </w:t>
      </w:r>
      <w:r w:rsidR="00A95067">
        <w:rPr>
          <w:szCs w:val="24"/>
          <w:lang w:val="en-GB"/>
        </w:rPr>
        <w:t xml:space="preserve">cited above </w:t>
      </w:r>
      <w:r w:rsidR="003E052C">
        <w:rPr>
          <w:szCs w:val="24"/>
          <w:lang w:val="en-GB"/>
        </w:rPr>
        <w:t xml:space="preserve">suggest that settlement of the Dundas archipelago was year-round from potentially the mid-Holocene until the abandonment of the large villages. </w:t>
      </w:r>
      <w:r w:rsidR="00797950">
        <w:rPr>
          <w:szCs w:val="24"/>
          <w:lang w:val="en-GB"/>
        </w:rPr>
        <w:t>Preliminary seasonality studies of several sites in Prince Rupert Harbour indicate an as-yet</w:t>
      </w:r>
      <w:r w:rsidR="00685588">
        <w:rPr>
          <w:szCs w:val="24"/>
          <w:lang w:val="en-GB"/>
        </w:rPr>
        <w:t xml:space="preserve"> </w:t>
      </w:r>
      <w:r w:rsidR="00797950">
        <w:rPr>
          <w:szCs w:val="24"/>
          <w:lang w:val="en-GB"/>
        </w:rPr>
        <w:t>unclear pattern that seems to have shifted through time (</w:t>
      </w:r>
      <w:proofErr w:type="spellStart"/>
      <w:r w:rsidR="00797950">
        <w:rPr>
          <w:szCs w:val="24"/>
          <w:lang w:val="en-GB"/>
        </w:rPr>
        <w:t>Burchell</w:t>
      </w:r>
      <w:proofErr w:type="spellEnd"/>
      <w:r w:rsidR="00797950">
        <w:rPr>
          <w:szCs w:val="24"/>
          <w:lang w:val="en-GB"/>
        </w:rPr>
        <w:t xml:space="preserve"> et al. 2013; Stewart and Stewart 2001; Stewart et al. 2009).</w:t>
      </w:r>
      <w:r w:rsidR="008F39F4">
        <w:rPr>
          <w:szCs w:val="24"/>
          <w:lang w:val="en-GB"/>
        </w:rPr>
        <w:t xml:space="preserve"> </w:t>
      </w:r>
      <w:r w:rsidR="00A95067">
        <w:rPr>
          <w:szCs w:val="24"/>
          <w:lang w:val="en-GB"/>
        </w:rPr>
        <w:t>T</w:t>
      </w:r>
      <w:r w:rsidR="008F39F4">
        <w:rPr>
          <w:szCs w:val="24"/>
          <w:lang w:val="en-GB"/>
        </w:rPr>
        <w:t>he outer islands</w:t>
      </w:r>
      <w:r w:rsidR="00A95067">
        <w:rPr>
          <w:szCs w:val="24"/>
          <w:lang w:val="en-GB"/>
        </w:rPr>
        <w:t xml:space="preserve"> were clearly distinct in their</w:t>
      </w:r>
      <w:r w:rsidR="00A95067" w:rsidRPr="00A95067">
        <w:rPr>
          <w:szCs w:val="24"/>
          <w:lang w:val="en-GB"/>
        </w:rPr>
        <w:t xml:space="preserve"> </w:t>
      </w:r>
      <w:r w:rsidR="00A95067">
        <w:rPr>
          <w:szCs w:val="24"/>
          <w:lang w:val="en-GB"/>
        </w:rPr>
        <w:t>settlement and subsistence patterns</w:t>
      </w:r>
      <w:r w:rsidR="00A82A0E">
        <w:rPr>
          <w:szCs w:val="24"/>
          <w:lang w:val="en-GB"/>
        </w:rPr>
        <w:t>.</w:t>
      </w:r>
    </w:p>
    <w:p w14:paraId="4D1593AD" w14:textId="3DEA0998" w:rsidR="00797950" w:rsidRPr="003A19B1" w:rsidRDefault="00797950" w:rsidP="005E1E4C">
      <w:pPr>
        <w:spacing w:after="0" w:line="480" w:lineRule="auto"/>
        <w:ind w:firstLine="720"/>
        <w:rPr>
          <w:szCs w:val="24"/>
          <w:lang w:val="en-GB"/>
        </w:rPr>
      </w:pPr>
      <w:r>
        <w:rPr>
          <w:szCs w:val="24"/>
          <w:lang w:val="en-GB"/>
        </w:rPr>
        <w:lastRenderedPageBreak/>
        <w:t xml:space="preserve">Another interesting contrast between the Dundas Islands and Prince Rupert Harbour is that </w:t>
      </w:r>
      <w:r w:rsidR="008F39F4">
        <w:rPr>
          <w:szCs w:val="24"/>
          <w:lang w:val="en-GB"/>
        </w:rPr>
        <w:t xml:space="preserve">many large villages in the </w:t>
      </w:r>
      <w:r w:rsidR="00A95067">
        <w:rPr>
          <w:szCs w:val="24"/>
          <w:lang w:val="en-GB"/>
        </w:rPr>
        <w:t>latter</w:t>
      </w:r>
      <w:r w:rsidR="008F39F4">
        <w:rPr>
          <w:szCs w:val="24"/>
          <w:lang w:val="en-GB"/>
        </w:rPr>
        <w:t xml:space="preserve"> were re-occupied after </w:t>
      </w:r>
      <w:r w:rsidR="009B3AC6">
        <w:rPr>
          <w:szCs w:val="24"/>
          <w:lang w:val="en-GB"/>
        </w:rPr>
        <w:t xml:space="preserve">a hiatus </w:t>
      </w:r>
      <w:r w:rsidR="008F39F4">
        <w:rPr>
          <w:szCs w:val="24"/>
          <w:lang w:val="en-GB"/>
        </w:rPr>
        <w:t>in the second millennium BP (Ames 2005; Archer 2001; Supernant and Cookson 2014), whereas the Dundas Islands do not seem to have been re-occupied by large populations of year-round residents</w:t>
      </w:r>
      <w:r w:rsidR="00444CF5">
        <w:rPr>
          <w:szCs w:val="24"/>
          <w:lang w:val="en-GB"/>
        </w:rPr>
        <w:t xml:space="preserve"> living in villages</w:t>
      </w:r>
      <w:r w:rsidR="008F39F4">
        <w:rPr>
          <w:szCs w:val="24"/>
          <w:lang w:val="en-GB"/>
        </w:rPr>
        <w:t xml:space="preserve">. Rather, the smaller resource procurement sites </w:t>
      </w:r>
      <w:r w:rsidR="00A95067">
        <w:rPr>
          <w:szCs w:val="24"/>
          <w:lang w:val="en-GB"/>
        </w:rPr>
        <w:t xml:space="preserve">of the latest period </w:t>
      </w:r>
      <w:r w:rsidR="008F39F4">
        <w:rPr>
          <w:szCs w:val="24"/>
          <w:lang w:val="en-GB"/>
        </w:rPr>
        <w:t xml:space="preserve">may be part of a logistical seasonal round of large populations that amalgamated in Prince Rupert Harbour. This </w:t>
      </w:r>
      <w:r w:rsidR="001B2BA3">
        <w:rPr>
          <w:szCs w:val="24"/>
          <w:lang w:val="en-GB"/>
        </w:rPr>
        <w:t xml:space="preserve">observation </w:t>
      </w:r>
      <w:r w:rsidR="008F39F4">
        <w:rPr>
          <w:szCs w:val="24"/>
          <w:lang w:val="en-GB"/>
        </w:rPr>
        <w:t>is derived in large part from a comparison of the archaeological record with accounts in Tsimshian oral histories (Marsden 200</w:t>
      </w:r>
      <w:r w:rsidR="005559B0">
        <w:rPr>
          <w:szCs w:val="24"/>
          <w:lang w:val="en-GB"/>
        </w:rPr>
        <w:t>0</w:t>
      </w:r>
      <w:r w:rsidR="008F39F4">
        <w:rPr>
          <w:szCs w:val="24"/>
          <w:lang w:val="en-GB"/>
        </w:rPr>
        <w:t>; Martindale and Marsden 2003)</w:t>
      </w:r>
      <w:r w:rsidR="003A19B1">
        <w:rPr>
          <w:szCs w:val="24"/>
          <w:lang w:val="en-GB"/>
        </w:rPr>
        <w:t xml:space="preserve">. </w:t>
      </w:r>
      <w:r w:rsidR="00C33111">
        <w:rPr>
          <w:szCs w:val="24"/>
          <w:lang w:val="en-GB"/>
        </w:rPr>
        <w:t xml:space="preserve">In a detailed analysis of </w:t>
      </w:r>
      <w:r w:rsidR="008E6B96">
        <w:rPr>
          <w:szCs w:val="24"/>
        </w:rPr>
        <w:t xml:space="preserve">Northern </w:t>
      </w:r>
      <w:r w:rsidR="00C33111">
        <w:rPr>
          <w:szCs w:val="24"/>
          <w:lang w:val="en-GB"/>
        </w:rPr>
        <w:t>Tsimshian and Tlingit oral records (</w:t>
      </w:r>
      <w:proofErr w:type="spellStart"/>
      <w:r w:rsidR="00C33111">
        <w:rPr>
          <w:i/>
          <w:szCs w:val="24"/>
          <w:lang w:val="en-GB"/>
        </w:rPr>
        <w:t>adawx</w:t>
      </w:r>
      <w:proofErr w:type="spellEnd"/>
      <w:r w:rsidR="00C33111">
        <w:rPr>
          <w:szCs w:val="24"/>
          <w:lang w:val="en-GB"/>
        </w:rPr>
        <w:t xml:space="preserve"> and </w:t>
      </w:r>
      <w:proofErr w:type="spellStart"/>
      <w:r w:rsidR="00C33111">
        <w:rPr>
          <w:i/>
          <w:szCs w:val="24"/>
          <w:lang w:val="en-GB"/>
        </w:rPr>
        <w:t>at.oow</w:t>
      </w:r>
      <w:proofErr w:type="spellEnd"/>
      <w:r w:rsidR="00C33111">
        <w:rPr>
          <w:szCs w:val="24"/>
          <w:lang w:val="en-GB"/>
        </w:rPr>
        <w:t>, respectively), Marsden (</w:t>
      </w:r>
      <w:r w:rsidR="00FD283A">
        <w:rPr>
          <w:szCs w:val="24"/>
          <w:lang w:val="en-GB"/>
        </w:rPr>
        <w:t>2000</w:t>
      </w:r>
      <w:r w:rsidR="00C33111">
        <w:rPr>
          <w:szCs w:val="24"/>
          <w:lang w:val="en-GB"/>
        </w:rPr>
        <w:t xml:space="preserve">) identifies a recurring narrative of invaders moving in from the north and establishing villages in </w:t>
      </w:r>
      <w:r w:rsidR="008E6B96">
        <w:rPr>
          <w:szCs w:val="24"/>
        </w:rPr>
        <w:t xml:space="preserve">Northern </w:t>
      </w:r>
      <w:r w:rsidR="00C33111">
        <w:rPr>
          <w:szCs w:val="24"/>
          <w:lang w:val="en-GB"/>
        </w:rPr>
        <w:t xml:space="preserve">Tsimshian territory, including on the Dundas Islands. Initially, many of these populations were incorporated into </w:t>
      </w:r>
      <w:r w:rsidR="008E6B96">
        <w:rPr>
          <w:szCs w:val="24"/>
        </w:rPr>
        <w:t xml:space="preserve">Northern </w:t>
      </w:r>
      <w:r w:rsidR="00C33111">
        <w:rPr>
          <w:szCs w:val="24"/>
          <w:lang w:val="en-GB"/>
        </w:rPr>
        <w:t>Tsimshian society, though a later influx of groups led to conflict and an eventual large-scale war</w:t>
      </w:r>
      <w:r w:rsidR="006722CC">
        <w:rPr>
          <w:szCs w:val="24"/>
          <w:lang w:val="en-GB"/>
        </w:rPr>
        <w:t xml:space="preserve"> in which the </w:t>
      </w:r>
      <w:r w:rsidR="008E6B96">
        <w:rPr>
          <w:szCs w:val="24"/>
        </w:rPr>
        <w:t xml:space="preserve">Northern </w:t>
      </w:r>
      <w:r w:rsidR="006722CC">
        <w:rPr>
          <w:szCs w:val="24"/>
          <w:lang w:val="en-GB"/>
        </w:rPr>
        <w:t xml:space="preserve">Tsimshian were forced to flee up the Skeena River, where they regrouped and later returned to reclaim their territories. According to the histories, </w:t>
      </w:r>
      <w:r w:rsidR="00FD283A">
        <w:rPr>
          <w:szCs w:val="24"/>
          <w:lang w:val="en-GB"/>
        </w:rPr>
        <w:t xml:space="preserve">the </w:t>
      </w:r>
      <w:r w:rsidR="006722CC">
        <w:rPr>
          <w:szCs w:val="24"/>
          <w:lang w:val="en-GB"/>
        </w:rPr>
        <w:t>newly formed alliance of the Tsimshian tribes clustered their winter villages in Prince Rupert Harbour, and the rest of the territory was used for seasonal resource procurement (Marsden 200</w:t>
      </w:r>
      <w:r w:rsidR="005559B0">
        <w:rPr>
          <w:szCs w:val="24"/>
          <w:lang w:val="en-GB"/>
        </w:rPr>
        <w:t>0</w:t>
      </w:r>
      <w:r w:rsidR="006722CC">
        <w:rPr>
          <w:szCs w:val="24"/>
          <w:lang w:val="en-GB"/>
        </w:rPr>
        <w:t xml:space="preserve">). In general, the offshore islands of </w:t>
      </w:r>
      <w:r w:rsidR="008E6B96">
        <w:rPr>
          <w:szCs w:val="24"/>
        </w:rPr>
        <w:t xml:space="preserve">Northern </w:t>
      </w:r>
      <w:r w:rsidR="006722CC">
        <w:rPr>
          <w:szCs w:val="24"/>
          <w:lang w:val="en-GB"/>
        </w:rPr>
        <w:t xml:space="preserve">Tsimshian territory figure largely in Tsimshian oral histories and </w:t>
      </w:r>
      <w:r w:rsidR="005559B0">
        <w:rPr>
          <w:szCs w:val="24"/>
          <w:lang w:val="en-GB"/>
        </w:rPr>
        <w:t>indicate the importance of</w:t>
      </w:r>
      <w:r w:rsidR="006722CC">
        <w:rPr>
          <w:szCs w:val="24"/>
          <w:lang w:val="en-GB"/>
        </w:rPr>
        <w:t xml:space="preserve"> politically-driven historical events </w:t>
      </w:r>
      <w:r w:rsidR="005559B0">
        <w:rPr>
          <w:szCs w:val="24"/>
          <w:lang w:val="en-GB"/>
        </w:rPr>
        <w:t>in shaping</w:t>
      </w:r>
      <w:r w:rsidR="006722CC">
        <w:rPr>
          <w:szCs w:val="24"/>
          <w:lang w:val="en-GB"/>
        </w:rPr>
        <w:t xml:space="preserve"> settlement there. </w:t>
      </w:r>
      <w:r w:rsidR="001A5DA0">
        <w:rPr>
          <w:szCs w:val="24"/>
          <w:lang w:val="en-GB"/>
        </w:rPr>
        <w:t>As such, these narratives provide further supporting evidence for the cultural centrality of these geographically peripheral regions.</w:t>
      </w:r>
      <w:r w:rsidR="003A19B1">
        <w:rPr>
          <w:szCs w:val="24"/>
          <w:lang w:val="en-GB"/>
        </w:rPr>
        <w:t xml:space="preserve"> This</w:t>
      </w:r>
      <w:r w:rsidR="001A5DA0">
        <w:rPr>
          <w:szCs w:val="24"/>
          <w:lang w:val="en-GB"/>
        </w:rPr>
        <w:t xml:space="preserve"> also</w:t>
      </w:r>
      <w:r w:rsidR="003A19B1">
        <w:rPr>
          <w:szCs w:val="24"/>
          <w:lang w:val="en-GB"/>
        </w:rPr>
        <w:t xml:space="preserve"> serves to remind us that the </w:t>
      </w:r>
      <w:r w:rsidR="003A19B1" w:rsidRPr="00A129FB">
        <w:rPr>
          <w:szCs w:val="24"/>
          <w:lang w:val="en-GB"/>
        </w:rPr>
        <w:t>causes</w:t>
      </w:r>
      <w:r w:rsidR="003A19B1">
        <w:rPr>
          <w:szCs w:val="24"/>
          <w:lang w:val="en-GB"/>
        </w:rPr>
        <w:t xml:space="preserve"> of many of the patterns we observe in the archaeological record may not be located in circumstances of environmental pressures or adaptation, but are often rooted in politics, beliefs, or the contingencies of history (</w:t>
      </w:r>
      <w:r w:rsidR="00760B66">
        <w:rPr>
          <w:szCs w:val="24"/>
          <w:lang w:val="en-GB"/>
        </w:rPr>
        <w:t xml:space="preserve">Cannon 2002, 2011; </w:t>
      </w:r>
      <w:r w:rsidR="003A19B1">
        <w:rPr>
          <w:szCs w:val="24"/>
          <w:lang w:val="en-GB"/>
        </w:rPr>
        <w:t xml:space="preserve">Martindale </w:t>
      </w:r>
      <w:r w:rsidR="003A19B1">
        <w:rPr>
          <w:szCs w:val="24"/>
          <w:lang w:val="en-GB"/>
        </w:rPr>
        <w:lastRenderedPageBreak/>
        <w:t xml:space="preserve">and </w:t>
      </w:r>
      <w:proofErr w:type="spellStart"/>
      <w:r w:rsidR="003A19B1">
        <w:rPr>
          <w:szCs w:val="24"/>
          <w:lang w:val="en-GB"/>
        </w:rPr>
        <w:t>Letham</w:t>
      </w:r>
      <w:proofErr w:type="spellEnd"/>
      <w:r w:rsidR="003A19B1">
        <w:rPr>
          <w:szCs w:val="24"/>
          <w:lang w:val="en-GB"/>
        </w:rPr>
        <w:t xml:space="preserve"> 2011</w:t>
      </w:r>
      <w:r w:rsidR="006C61D5">
        <w:rPr>
          <w:szCs w:val="24"/>
          <w:lang w:val="en-GB"/>
        </w:rPr>
        <w:t>; Martindale and Nicholas 2014</w:t>
      </w:r>
      <w:r w:rsidR="003A19B1">
        <w:rPr>
          <w:szCs w:val="24"/>
          <w:lang w:val="en-GB"/>
        </w:rPr>
        <w:t xml:space="preserve">), and evidence towards these sorts of explanations may need to be sought in corroborating datasets, such as </w:t>
      </w:r>
      <w:r w:rsidR="00646E4C">
        <w:rPr>
          <w:szCs w:val="24"/>
          <w:lang w:val="en-GB"/>
        </w:rPr>
        <w:t>I</w:t>
      </w:r>
      <w:r w:rsidR="003A19B1">
        <w:rPr>
          <w:szCs w:val="24"/>
          <w:lang w:val="en-GB"/>
        </w:rPr>
        <w:t>ndigenous oral histories (Martindale and Marsden 2003; Martindale 2006).</w:t>
      </w:r>
      <w:r w:rsidR="001A5DA0">
        <w:rPr>
          <w:szCs w:val="24"/>
          <w:lang w:val="en-GB"/>
        </w:rPr>
        <w:t xml:space="preserve"> </w:t>
      </w:r>
    </w:p>
    <w:p w14:paraId="4FCF2B4A" w14:textId="77777777" w:rsidR="00797950" w:rsidRDefault="00797950" w:rsidP="005E1E4C">
      <w:pPr>
        <w:spacing w:after="0" w:line="480" w:lineRule="auto"/>
        <w:rPr>
          <w:szCs w:val="24"/>
          <w:lang w:val="en-GB"/>
        </w:rPr>
      </w:pPr>
    </w:p>
    <w:p w14:paraId="59BC8EBF" w14:textId="77777777" w:rsidR="00797950" w:rsidRDefault="00797950" w:rsidP="005E1E4C">
      <w:pPr>
        <w:spacing w:after="0" w:line="480" w:lineRule="auto"/>
        <w:rPr>
          <w:b/>
          <w:szCs w:val="24"/>
          <w:lang w:val="en-GB"/>
        </w:rPr>
      </w:pPr>
      <w:r>
        <w:rPr>
          <w:b/>
          <w:szCs w:val="24"/>
          <w:lang w:val="en-GB"/>
        </w:rPr>
        <w:t>CONCLUSION</w:t>
      </w:r>
    </w:p>
    <w:p w14:paraId="31BD1F90" w14:textId="567EF14C" w:rsidR="001A5DA0" w:rsidRDefault="001A5DA0" w:rsidP="005E1E4C">
      <w:pPr>
        <w:spacing w:after="0" w:line="480" w:lineRule="auto"/>
        <w:rPr>
          <w:szCs w:val="24"/>
        </w:rPr>
      </w:pPr>
      <w:r>
        <w:rPr>
          <w:b/>
          <w:szCs w:val="24"/>
        </w:rPr>
        <w:tab/>
      </w:r>
      <w:r>
        <w:rPr>
          <w:szCs w:val="24"/>
        </w:rPr>
        <w:t xml:space="preserve">The archaeological record of the Dundas Islands </w:t>
      </w:r>
      <w:r w:rsidR="008126FD">
        <w:rPr>
          <w:szCs w:val="24"/>
        </w:rPr>
        <w:t>archipelago</w:t>
      </w:r>
      <w:r>
        <w:rPr>
          <w:szCs w:val="24"/>
        </w:rPr>
        <w:t>, as assessed through several early surveys and the Dundas Islands Archaeological Project (Martindale e</w:t>
      </w:r>
      <w:r w:rsidR="001F694C">
        <w:rPr>
          <w:szCs w:val="24"/>
        </w:rPr>
        <w:t xml:space="preserve">t al. 2010), provides a </w:t>
      </w:r>
      <w:r>
        <w:rPr>
          <w:szCs w:val="24"/>
        </w:rPr>
        <w:t>picture of 1</w:t>
      </w:r>
      <w:r w:rsidR="009517C8">
        <w:rPr>
          <w:szCs w:val="24"/>
        </w:rPr>
        <w:t>1</w:t>
      </w:r>
      <w:r>
        <w:rPr>
          <w:szCs w:val="24"/>
        </w:rPr>
        <w:t xml:space="preserve">,000 years of human occupation on the geographical periphery of </w:t>
      </w:r>
      <w:r w:rsidR="008E6B96">
        <w:rPr>
          <w:szCs w:val="24"/>
        </w:rPr>
        <w:t xml:space="preserve">Northern </w:t>
      </w:r>
      <w:r w:rsidR="001F694C">
        <w:rPr>
          <w:szCs w:val="24"/>
        </w:rPr>
        <w:t>Tsimshian traditional territory. M</w:t>
      </w:r>
      <w:r>
        <w:rPr>
          <w:szCs w:val="24"/>
        </w:rPr>
        <w:t xml:space="preserve">ore broadly, </w:t>
      </w:r>
      <w:r w:rsidR="001F694C">
        <w:rPr>
          <w:szCs w:val="24"/>
        </w:rPr>
        <w:t xml:space="preserve">it provides </w:t>
      </w:r>
      <w:r>
        <w:rPr>
          <w:szCs w:val="24"/>
        </w:rPr>
        <w:t xml:space="preserve">a long-term snapshot of the lifeways of offshore </w:t>
      </w:r>
      <w:r w:rsidR="002667C9">
        <w:rPr>
          <w:szCs w:val="24"/>
        </w:rPr>
        <w:t xml:space="preserve">island </w:t>
      </w:r>
      <w:r>
        <w:rPr>
          <w:szCs w:val="24"/>
        </w:rPr>
        <w:t xml:space="preserve">occupation of the Northwest Coast. </w:t>
      </w:r>
      <w:r w:rsidRPr="00A66575">
        <w:rPr>
          <w:szCs w:val="24"/>
        </w:rPr>
        <w:t xml:space="preserve">The Dundas Islands were occupied by </w:t>
      </w:r>
      <w:r w:rsidR="00000AC6">
        <w:rPr>
          <w:szCs w:val="24"/>
        </w:rPr>
        <w:t>adept maritime-adapted fisher-hunter-gatherers</w:t>
      </w:r>
      <w:r>
        <w:rPr>
          <w:szCs w:val="24"/>
        </w:rPr>
        <w:t xml:space="preserve"> by </w:t>
      </w:r>
      <w:r w:rsidRPr="00A66575">
        <w:rPr>
          <w:szCs w:val="24"/>
        </w:rPr>
        <w:t>1</w:t>
      </w:r>
      <w:r w:rsidR="009517C8">
        <w:rPr>
          <w:szCs w:val="24"/>
        </w:rPr>
        <w:t>1</w:t>
      </w:r>
      <w:r w:rsidRPr="00A66575">
        <w:rPr>
          <w:szCs w:val="24"/>
        </w:rPr>
        <w:t xml:space="preserve">,000 </w:t>
      </w:r>
      <w:proofErr w:type="spellStart"/>
      <w:r w:rsidRPr="00A66575">
        <w:rPr>
          <w:szCs w:val="24"/>
        </w:rPr>
        <w:t>cal</w:t>
      </w:r>
      <w:proofErr w:type="spellEnd"/>
      <w:r w:rsidR="00000AC6">
        <w:rPr>
          <w:szCs w:val="24"/>
        </w:rPr>
        <w:t xml:space="preserve"> </w:t>
      </w:r>
      <w:proofErr w:type="spellStart"/>
      <w:r w:rsidR="00000AC6">
        <w:rPr>
          <w:szCs w:val="24"/>
        </w:rPr>
        <w:t>yr</w:t>
      </w:r>
      <w:proofErr w:type="spellEnd"/>
      <w:r w:rsidRPr="00A66575">
        <w:rPr>
          <w:szCs w:val="24"/>
        </w:rPr>
        <w:t xml:space="preserve"> BP. Most </w:t>
      </w:r>
      <w:r w:rsidR="00B95257">
        <w:rPr>
          <w:szCs w:val="24"/>
        </w:rPr>
        <w:t xml:space="preserve">early </w:t>
      </w:r>
      <w:r w:rsidRPr="00A66575">
        <w:rPr>
          <w:szCs w:val="24"/>
        </w:rPr>
        <w:t>occupations were small and adjacent to the shore, and we observe trends of sites following the changing shoreline throughout the Holocene</w:t>
      </w:r>
      <w:r w:rsidR="00336922">
        <w:rPr>
          <w:szCs w:val="24"/>
        </w:rPr>
        <w:t xml:space="preserve"> due to relative sea </w:t>
      </w:r>
      <w:r w:rsidR="004E53A5">
        <w:rPr>
          <w:szCs w:val="24"/>
        </w:rPr>
        <w:t>level regression</w:t>
      </w:r>
      <w:r w:rsidRPr="00A66575">
        <w:rPr>
          <w:szCs w:val="24"/>
        </w:rPr>
        <w:t>. Small shell-bearing sites persist through</w:t>
      </w:r>
      <w:r w:rsidR="002B646E">
        <w:rPr>
          <w:szCs w:val="24"/>
        </w:rPr>
        <w:t>out</w:t>
      </w:r>
      <w:r w:rsidRPr="00A66575">
        <w:rPr>
          <w:szCs w:val="24"/>
        </w:rPr>
        <w:t xml:space="preserve"> the Holocene, but by at least </w:t>
      </w:r>
      <w:r w:rsidR="004E53A5">
        <w:rPr>
          <w:szCs w:val="24"/>
        </w:rPr>
        <w:t>5000 years ago</w:t>
      </w:r>
      <w:r w:rsidRPr="00A66575">
        <w:rPr>
          <w:szCs w:val="24"/>
        </w:rPr>
        <w:t xml:space="preserve"> we have evidence for the more formalized construction of sites with surface features such as buildings, terraces and ridges. In subsequent millennia</w:t>
      </w:r>
      <w:r w:rsidR="002B646E">
        <w:rPr>
          <w:szCs w:val="24"/>
        </w:rPr>
        <w:t>,</w:t>
      </w:r>
      <w:r w:rsidRPr="00A66575">
        <w:rPr>
          <w:szCs w:val="24"/>
        </w:rPr>
        <w:t xml:space="preserve"> a variety of village layouts appear</w:t>
      </w:r>
      <w:r w:rsidR="005C3F69">
        <w:rPr>
          <w:szCs w:val="24"/>
        </w:rPr>
        <w:t>ed</w:t>
      </w:r>
      <w:r w:rsidRPr="00A66575">
        <w:rPr>
          <w:szCs w:val="24"/>
        </w:rPr>
        <w:t xml:space="preserve"> on the islands, the largest of which have differentially sized houses and can be characterized at the most general level by either straight linear house rows or curved house rows, which may be indicative of different cultural groups occupying the islands.</w:t>
      </w:r>
      <w:r w:rsidR="00240845">
        <w:rPr>
          <w:szCs w:val="24"/>
        </w:rPr>
        <w:t xml:space="preserve"> </w:t>
      </w:r>
      <w:r w:rsidR="00760B66">
        <w:rPr>
          <w:szCs w:val="24"/>
        </w:rPr>
        <w:t>These</w:t>
      </w:r>
      <w:r w:rsidR="00240845">
        <w:rPr>
          <w:szCs w:val="24"/>
        </w:rPr>
        <w:t xml:space="preserve"> villages were </w:t>
      </w:r>
      <w:r w:rsidR="00000AC6">
        <w:rPr>
          <w:szCs w:val="24"/>
        </w:rPr>
        <w:t xml:space="preserve">likely </w:t>
      </w:r>
      <w:r w:rsidR="00240845">
        <w:rPr>
          <w:szCs w:val="24"/>
        </w:rPr>
        <w:t>complex engineering feats</w:t>
      </w:r>
      <w:r w:rsidR="00000AC6">
        <w:rPr>
          <w:szCs w:val="24"/>
        </w:rPr>
        <w:t>;</w:t>
      </w:r>
      <w:r w:rsidR="00240845">
        <w:rPr>
          <w:szCs w:val="24"/>
        </w:rPr>
        <w:t xml:space="preserve"> </w:t>
      </w:r>
      <w:r w:rsidR="00000AC6">
        <w:rPr>
          <w:szCs w:val="24"/>
        </w:rPr>
        <w:t>they may have been constructed in part through</w:t>
      </w:r>
      <w:r w:rsidR="00240845">
        <w:rPr>
          <w:szCs w:val="24"/>
        </w:rPr>
        <w:t xml:space="preserve"> pre-planned terraforming</w:t>
      </w:r>
      <w:r w:rsidRPr="00A66575">
        <w:rPr>
          <w:szCs w:val="24"/>
        </w:rPr>
        <w:t xml:space="preserve"> </w:t>
      </w:r>
      <w:r w:rsidR="00240845">
        <w:rPr>
          <w:szCs w:val="24"/>
        </w:rPr>
        <w:t xml:space="preserve">using shell. </w:t>
      </w:r>
      <w:r w:rsidRPr="00A66575">
        <w:rPr>
          <w:szCs w:val="24"/>
        </w:rPr>
        <w:t xml:space="preserve">By 2000 </w:t>
      </w:r>
      <w:proofErr w:type="spellStart"/>
      <w:r w:rsidRPr="00A66575">
        <w:rPr>
          <w:szCs w:val="24"/>
        </w:rPr>
        <w:t>cal</w:t>
      </w:r>
      <w:proofErr w:type="spellEnd"/>
      <w:r w:rsidR="00000AC6">
        <w:rPr>
          <w:szCs w:val="24"/>
        </w:rPr>
        <w:t xml:space="preserve"> </w:t>
      </w:r>
      <w:proofErr w:type="spellStart"/>
      <w:r w:rsidR="00000AC6">
        <w:rPr>
          <w:szCs w:val="24"/>
        </w:rPr>
        <w:t>yr</w:t>
      </w:r>
      <w:proofErr w:type="spellEnd"/>
      <w:r w:rsidRPr="00A66575">
        <w:rPr>
          <w:szCs w:val="24"/>
        </w:rPr>
        <w:t xml:space="preserve"> BP all </w:t>
      </w:r>
      <w:r w:rsidR="009A0960">
        <w:rPr>
          <w:szCs w:val="24"/>
        </w:rPr>
        <w:t>six</w:t>
      </w:r>
      <w:r w:rsidRPr="00A66575">
        <w:rPr>
          <w:szCs w:val="24"/>
        </w:rPr>
        <w:t xml:space="preserve"> of the largest villages dated were occupied</w:t>
      </w:r>
      <w:r w:rsidR="004E53A5">
        <w:rPr>
          <w:szCs w:val="24"/>
        </w:rPr>
        <w:t>, and several thousand people likely plied the archipelago’s waterways and shorelines</w:t>
      </w:r>
      <w:r w:rsidRPr="00A66575">
        <w:rPr>
          <w:szCs w:val="24"/>
        </w:rPr>
        <w:t xml:space="preserve">. </w:t>
      </w:r>
      <w:r w:rsidR="000F5710">
        <w:rPr>
          <w:szCs w:val="24"/>
        </w:rPr>
        <w:t>Occupation shifted away from the large villages</w:t>
      </w:r>
      <w:r w:rsidRPr="00A66575">
        <w:rPr>
          <w:szCs w:val="24"/>
        </w:rPr>
        <w:t xml:space="preserve"> between 1900 and 1</w:t>
      </w:r>
      <w:r w:rsidR="004E53A5">
        <w:rPr>
          <w:szCs w:val="24"/>
        </w:rPr>
        <w:t>3</w:t>
      </w:r>
      <w:r w:rsidRPr="00A66575">
        <w:rPr>
          <w:szCs w:val="24"/>
        </w:rPr>
        <w:t xml:space="preserve">00 </w:t>
      </w:r>
      <w:proofErr w:type="spellStart"/>
      <w:r w:rsidRPr="00A66575">
        <w:rPr>
          <w:szCs w:val="24"/>
        </w:rPr>
        <w:t>cal</w:t>
      </w:r>
      <w:proofErr w:type="spellEnd"/>
      <w:r w:rsidR="00A6084B">
        <w:rPr>
          <w:szCs w:val="24"/>
        </w:rPr>
        <w:t xml:space="preserve"> </w:t>
      </w:r>
      <w:proofErr w:type="spellStart"/>
      <w:r w:rsidR="00A6084B">
        <w:rPr>
          <w:szCs w:val="24"/>
        </w:rPr>
        <w:t>yr</w:t>
      </w:r>
      <w:proofErr w:type="spellEnd"/>
      <w:r w:rsidRPr="00A66575">
        <w:rPr>
          <w:szCs w:val="24"/>
        </w:rPr>
        <w:t xml:space="preserve"> BP, after which time occupation of the islands appears to be </w:t>
      </w:r>
      <w:r w:rsidRPr="00A66575">
        <w:rPr>
          <w:szCs w:val="24"/>
        </w:rPr>
        <w:lastRenderedPageBreak/>
        <w:t xml:space="preserve">characterized by resource gathering sites, </w:t>
      </w:r>
      <w:r w:rsidR="005C3F69">
        <w:rPr>
          <w:szCs w:val="24"/>
        </w:rPr>
        <w:t>indicated</w:t>
      </w:r>
      <w:r w:rsidR="005C3F69" w:rsidRPr="00A66575">
        <w:rPr>
          <w:szCs w:val="24"/>
        </w:rPr>
        <w:t xml:space="preserve"> </w:t>
      </w:r>
      <w:r w:rsidRPr="00A66575">
        <w:rPr>
          <w:szCs w:val="24"/>
        </w:rPr>
        <w:t xml:space="preserve">by culturally modified trees and Late Holocene and </w:t>
      </w:r>
      <w:r w:rsidR="002667C9">
        <w:rPr>
          <w:szCs w:val="24"/>
        </w:rPr>
        <w:t>historic period</w:t>
      </w:r>
      <w:r w:rsidRPr="00A66575">
        <w:rPr>
          <w:szCs w:val="24"/>
        </w:rPr>
        <w:t xml:space="preserve"> camps.</w:t>
      </w:r>
    </w:p>
    <w:p w14:paraId="3F70998D" w14:textId="6CE625B8" w:rsidR="004E53A5" w:rsidRDefault="004E53A5" w:rsidP="005E1E4C">
      <w:pPr>
        <w:spacing w:after="0" w:line="480" w:lineRule="auto"/>
        <w:rPr>
          <w:szCs w:val="24"/>
        </w:rPr>
      </w:pPr>
      <w:r>
        <w:rPr>
          <w:szCs w:val="24"/>
        </w:rPr>
        <w:tab/>
        <w:t>The dense archaeological record serves testament to a political</w:t>
      </w:r>
      <w:r w:rsidR="00FB153D">
        <w:rPr>
          <w:szCs w:val="24"/>
        </w:rPr>
        <w:t xml:space="preserve"> </w:t>
      </w:r>
      <w:r>
        <w:rPr>
          <w:szCs w:val="24"/>
        </w:rPr>
        <w:t xml:space="preserve">and cultural centrality of these islands that is referenced in Tsimshian oral histories. The addition of this dataset to the </w:t>
      </w:r>
      <w:r w:rsidR="005C3F69">
        <w:rPr>
          <w:szCs w:val="24"/>
        </w:rPr>
        <w:t>better-known</w:t>
      </w:r>
      <w:r>
        <w:rPr>
          <w:szCs w:val="24"/>
        </w:rPr>
        <w:t xml:space="preserve"> record on the mainland coast and rivers contributes </w:t>
      </w:r>
      <w:r w:rsidR="00632522">
        <w:rPr>
          <w:szCs w:val="24"/>
        </w:rPr>
        <w:t xml:space="preserve">additional detail </w:t>
      </w:r>
      <w:r>
        <w:rPr>
          <w:szCs w:val="24"/>
        </w:rPr>
        <w:t xml:space="preserve">to Moss’ dynamic mosaic of Northwest Coast settlement and history. </w:t>
      </w:r>
      <w:r w:rsidR="00845AE9">
        <w:rPr>
          <w:szCs w:val="24"/>
        </w:rPr>
        <w:t>In particular, it</w:t>
      </w:r>
      <w:r>
        <w:rPr>
          <w:szCs w:val="24"/>
        </w:rPr>
        <w:t xml:space="preserve"> contributes to our understanding of </w:t>
      </w:r>
      <w:r w:rsidR="005E1E4C">
        <w:rPr>
          <w:szCs w:val="24"/>
        </w:rPr>
        <w:t>o</w:t>
      </w:r>
      <w:r>
        <w:rPr>
          <w:szCs w:val="24"/>
        </w:rPr>
        <w:t xml:space="preserve">uter </w:t>
      </w:r>
      <w:r w:rsidR="005E1E4C">
        <w:rPr>
          <w:szCs w:val="24"/>
        </w:rPr>
        <w:t>c</w:t>
      </w:r>
      <w:r>
        <w:rPr>
          <w:szCs w:val="24"/>
        </w:rPr>
        <w:t>oast</w:t>
      </w:r>
      <w:r w:rsidR="005E1E4C">
        <w:rPr>
          <w:szCs w:val="24"/>
        </w:rPr>
        <w:t xml:space="preserve"> </w:t>
      </w:r>
      <w:r>
        <w:rPr>
          <w:szCs w:val="24"/>
        </w:rPr>
        <w:t>s</w:t>
      </w:r>
      <w:r w:rsidR="005E1E4C">
        <w:rPr>
          <w:szCs w:val="24"/>
        </w:rPr>
        <w:t>ettings</w:t>
      </w:r>
      <w:r>
        <w:rPr>
          <w:szCs w:val="24"/>
        </w:rPr>
        <w:t xml:space="preserve"> and their central place in human history in the region.</w:t>
      </w:r>
    </w:p>
    <w:p w14:paraId="5DBF7F93" w14:textId="77777777" w:rsidR="000F5710" w:rsidRDefault="000F5710" w:rsidP="005E1E4C">
      <w:pPr>
        <w:spacing w:after="0" w:line="480" w:lineRule="auto"/>
        <w:rPr>
          <w:szCs w:val="24"/>
        </w:rPr>
      </w:pPr>
    </w:p>
    <w:p w14:paraId="168E23F0" w14:textId="77777777" w:rsidR="005E1E4C" w:rsidRDefault="00423FC0" w:rsidP="005E1E4C">
      <w:pPr>
        <w:spacing w:after="0" w:line="480" w:lineRule="auto"/>
        <w:rPr>
          <w:szCs w:val="24"/>
        </w:rPr>
      </w:pPr>
      <w:r>
        <w:rPr>
          <w:szCs w:val="24"/>
        </w:rPr>
        <w:t>ACKNOWLEDGMENTS</w:t>
      </w:r>
    </w:p>
    <w:p w14:paraId="6605797D" w14:textId="511A26C0" w:rsidR="00FE22BD" w:rsidRPr="00FE22BD" w:rsidRDefault="00FE22BD" w:rsidP="005E1E4C">
      <w:pPr>
        <w:spacing w:after="0" w:line="480" w:lineRule="auto"/>
        <w:rPr>
          <w:i/>
          <w:szCs w:val="24"/>
        </w:rPr>
      </w:pPr>
      <w:r>
        <w:rPr>
          <w:szCs w:val="24"/>
        </w:rPr>
        <w:t xml:space="preserve">We would like to acknowledge and thank the Lax </w:t>
      </w:r>
      <w:proofErr w:type="spellStart"/>
      <w:r>
        <w:rPr>
          <w:szCs w:val="24"/>
        </w:rPr>
        <w:t>Kw’alaams</w:t>
      </w:r>
      <w:proofErr w:type="spellEnd"/>
      <w:r>
        <w:rPr>
          <w:szCs w:val="24"/>
        </w:rPr>
        <w:t xml:space="preserve"> and </w:t>
      </w:r>
      <w:proofErr w:type="spellStart"/>
      <w:r>
        <w:rPr>
          <w:szCs w:val="24"/>
        </w:rPr>
        <w:t>Metlakatla</w:t>
      </w:r>
      <w:proofErr w:type="spellEnd"/>
      <w:r>
        <w:rPr>
          <w:szCs w:val="24"/>
        </w:rPr>
        <w:t xml:space="preserve"> First Nations for allowing us to research their territory and fascinating histories. We also extend our thanks to all of the 2005</w:t>
      </w:r>
      <w:r w:rsidR="00646E4C">
        <w:rPr>
          <w:szCs w:val="24"/>
        </w:rPr>
        <w:t xml:space="preserve"> to </w:t>
      </w:r>
      <w:r>
        <w:rPr>
          <w:szCs w:val="24"/>
        </w:rPr>
        <w:t>2007 field crews for the</w:t>
      </w:r>
      <w:r w:rsidR="00A129FB">
        <w:rPr>
          <w:szCs w:val="24"/>
        </w:rPr>
        <w:t>ir</w:t>
      </w:r>
      <w:r>
        <w:rPr>
          <w:szCs w:val="24"/>
        </w:rPr>
        <w:t xml:space="preserve"> work in this beautiful portion of the coast. We would like </w:t>
      </w:r>
      <w:r w:rsidR="00646E4C">
        <w:rPr>
          <w:szCs w:val="24"/>
        </w:rPr>
        <w:t xml:space="preserve">to </w:t>
      </w:r>
      <w:r>
        <w:rPr>
          <w:szCs w:val="24"/>
        </w:rPr>
        <w:t xml:space="preserve">thank </w:t>
      </w:r>
      <w:r w:rsidR="005D60BD">
        <w:rPr>
          <w:szCs w:val="24"/>
        </w:rPr>
        <w:t xml:space="preserve">Iain McKechnie and </w:t>
      </w:r>
      <w:r>
        <w:rPr>
          <w:szCs w:val="24"/>
        </w:rPr>
        <w:t>Alan McMillan for inviting us to participate in this thematic volume and for their helpful comments on drafts of this paper.</w:t>
      </w:r>
      <w:r w:rsidR="006F6969">
        <w:rPr>
          <w:szCs w:val="24"/>
        </w:rPr>
        <w:t xml:space="preserve"> We would also like to thank the two anonymous reviewers for their comments.</w:t>
      </w:r>
      <w:r>
        <w:rPr>
          <w:szCs w:val="24"/>
        </w:rPr>
        <w:t xml:space="preserve"> </w:t>
      </w:r>
      <w:proofErr w:type="spellStart"/>
      <w:r>
        <w:rPr>
          <w:szCs w:val="24"/>
        </w:rPr>
        <w:t>Kisha</w:t>
      </w:r>
      <w:proofErr w:type="spellEnd"/>
      <w:r>
        <w:rPr>
          <w:szCs w:val="24"/>
        </w:rPr>
        <w:t xml:space="preserve"> </w:t>
      </w:r>
      <w:proofErr w:type="spellStart"/>
      <w:r>
        <w:rPr>
          <w:szCs w:val="24"/>
        </w:rPr>
        <w:t>Supernant</w:t>
      </w:r>
      <w:proofErr w:type="spellEnd"/>
      <w:r>
        <w:rPr>
          <w:szCs w:val="24"/>
        </w:rPr>
        <w:t xml:space="preserve"> created Figure 2 and Sue Formosa collected the </w:t>
      </w:r>
      <w:r w:rsidR="00646E4C">
        <w:rPr>
          <w:szCs w:val="24"/>
        </w:rPr>
        <w:t xml:space="preserve">field </w:t>
      </w:r>
      <w:r>
        <w:rPr>
          <w:szCs w:val="24"/>
        </w:rPr>
        <w:t>data for and created the maps in Figure 5.</w:t>
      </w:r>
      <w:r w:rsidR="00410E0D">
        <w:rPr>
          <w:szCs w:val="24"/>
        </w:rPr>
        <w:t xml:space="preserve"> </w:t>
      </w:r>
      <w:r w:rsidR="006F6969">
        <w:rPr>
          <w:szCs w:val="24"/>
        </w:rPr>
        <w:t>This project would not have been possible without multiple generous funding sources: f</w:t>
      </w:r>
      <w:r w:rsidR="00410E0D">
        <w:rPr>
          <w:szCs w:val="24"/>
        </w:rPr>
        <w:t>unding for the Dundas Islands Archaeological Project</w:t>
      </w:r>
      <w:r w:rsidR="006F6969">
        <w:rPr>
          <w:szCs w:val="24"/>
        </w:rPr>
        <w:t xml:space="preserve"> field work and the majority of the radiocarbon dates</w:t>
      </w:r>
      <w:r w:rsidR="00410E0D">
        <w:rPr>
          <w:szCs w:val="24"/>
        </w:rPr>
        <w:t xml:space="preserve"> was provided by the Social Sciences and Humanities Research Council of Canada.</w:t>
      </w:r>
      <w:r w:rsidR="006F6969">
        <w:rPr>
          <w:szCs w:val="24"/>
        </w:rPr>
        <w:t xml:space="preserve"> Radiocarbon dates for Stephens Islands were funded by NSF </w:t>
      </w:r>
      <w:r w:rsidR="00F149A5">
        <w:rPr>
          <w:szCs w:val="24"/>
        </w:rPr>
        <w:t>G</w:t>
      </w:r>
      <w:r w:rsidR="006F6969">
        <w:rPr>
          <w:szCs w:val="24"/>
        </w:rPr>
        <w:t>rant #1216847. Additional radiocarbon dates for GdTq-3 were funded by the Portland State University Anthropology Department 2015 Thomas Newman Scholarship.</w:t>
      </w:r>
    </w:p>
    <w:p w14:paraId="7B129F4D" w14:textId="77777777" w:rsidR="00423FC0" w:rsidRPr="00A66575" w:rsidRDefault="00423FC0" w:rsidP="005E1E4C">
      <w:pPr>
        <w:spacing w:after="0" w:line="480" w:lineRule="auto"/>
        <w:rPr>
          <w:szCs w:val="24"/>
        </w:rPr>
      </w:pPr>
    </w:p>
    <w:p w14:paraId="14764696" w14:textId="77777777" w:rsidR="00142FB0" w:rsidRPr="00014B50" w:rsidRDefault="00142FB0" w:rsidP="00142FB0">
      <w:pPr>
        <w:rPr>
          <w:b/>
          <w:color w:val="auto"/>
          <w:szCs w:val="24"/>
        </w:rPr>
      </w:pPr>
      <w:r w:rsidRPr="00014B50">
        <w:rPr>
          <w:b/>
          <w:color w:val="auto"/>
          <w:szCs w:val="24"/>
        </w:rPr>
        <w:lastRenderedPageBreak/>
        <w:t>REFERENCES</w:t>
      </w:r>
    </w:p>
    <w:p w14:paraId="187E947A" w14:textId="77777777" w:rsidR="00142FB0" w:rsidRPr="00014B50" w:rsidRDefault="00142FB0" w:rsidP="00142FB0">
      <w:pPr>
        <w:ind w:left="284" w:hanging="284"/>
        <w:rPr>
          <w:color w:val="auto"/>
          <w:szCs w:val="24"/>
        </w:rPr>
      </w:pPr>
      <w:r w:rsidRPr="00014B50">
        <w:rPr>
          <w:color w:val="auto"/>
          <w:szCs w:val="24"/>
        </w:rPr>
        <w:t xml:space="preserve">Acheson, S. 1995. “In the Wake of the Iron People: A Case for Changing Settlement Strategies among the Kunghit Haida.” </w:t>
      </w:r>
      <w:r w:rsidRPr="00014B50">
        <w:rPr>
          <w:i/>
          <w:color w:val="auto"/>
          <w:szCs w:val="24"/>
        </w:rPr>
        <w:t>The Journal of the Royal Anthropological Institute</w:t>
      </w:r>
      <w:r w:rsidRPr="00014B50">
        <w:rPr>
          <w:color w:val="auto"/>
          <w:szCs w:val="24"/>
        </w:rPr>
        <w:t xml:space="preserve"> 2:273-299.</w:t>
      </w:r>
    </w:p>
    <w:p w14:paraId="4B12D7B3" w14:textId="77777777" w:rsidR="00142FB0" w:rsidRPr="00014B50" w:rsidRDefault="00142FB0" w:rsidP="00142FB0">
      <w:pPr>
        <w:ind w:left="284" w:hanging="284"/>
        <w:rPr>
          <w:color w:val="auto"/>
          <w:szCs w:val="24"/>
        </w:rPr>
      </w:pPr>
      <w:r w:rsidRPr="00014B50">
        <w:rPr>
          <w:color w:val="auto"/>
          <w:szCs w:val="24"/>
        </w:rPr>
        <w:t xml:space="preserve">—. 1998. </w:t>
      </w:r>
      <w:r w:rsidRPr="00014B50">
        <w:rPr>
          <w:i/>
          <w:color w:val="auto"/>
          <w:szCs w:val="24"/>
        </w:rPr>
        <w:t xml:space="preserve">In the Wake of the </w:t>
      </w:r>
      <w:proofErr w:type="spellStart"/>
      <w:r w:rsidRPr="00014B50">
        <w:rPr>
          <w:i/>
          <w:color w:val="auto"/>
          <w:szCs w:val="24"/>
        </w:rPr>
        <w:t>ya’aats</w:t>
      </w:r>
      <w:proofErr w:type="spellEnd"/>
      <w:r w:rsidRPr="00014B50">
        <w:rPr>
          <w:i/>
          <w:color w:val="auto"/>
          <w:szCs w:val="24"/>
        </w:rPr>
        <w:t xml:space="preserve">’ </w:t>
      </w:r>
      <w:proofErr w:type="spellStart"/>
      <w:r w:rsidRPr="00014B50">
        <w:rPr>
          <w:i/>
          <w:color w:val="auto"/>
          <w:szCs w:val="24"/>
        </w:rPr>
        <w:t>xaatgaay</w:t>
      </w:r>
      <w:proofErr w:type="spellEnd"/>
      <w:r w:rsidRPr="00014B50">
        <w:rPr>
          <w:i/>
          <w:color w:val="auto"/>
          <w:szCs w:val="24"/>
        </w:rPr>
        <w:t xml:space="preserve"> [‘Iron People’]: a Study of Changing Settlement Strategies </w:t>
      </w:r>
      <w:proofErr w:type="gramStart"/>
      <w:r w:rsidRPr="00014B50">
        <w:rPr>
          <w:i/>
          <w:color w:val="auto"/>
          <w:szCs w:val="24"/>
        </w:rPr>
        <w:t>Among</w:t>
      </w:r>
      <w:proofErr w:type="gramEnd"/>
      <w:r w:rsidRPr="00014B50">
        <w:rPr>
          <w:i/>
          <w:color w:val="auto"/>
          <w:szCs w:val="24"/>
        </w:rPr>
        <w:t xml:space="preserve"> the Kunghit Haida</w:t>
      </w:r>
      <w:r w:rsidRPr="00014B50">
        <w:rPr>
          <w:color w:val="auto"/>
          <w:szCs w:val="24"/>
        </w:rPr>
        <w:t>. BAR International Series 711. Oxford UK: British Archaeological Reports.</w:t>
      </w:r>
    </w:p>
    <w:p w14:paraId="2CE9BD87" w14:textId="77777777" w:rsidR="00142FB0" w:rsidRDefault="00142FB0" w:rsidP="00142FB0">
      <w:pPr>
        <w:ind w:left="284" w:hanging="284"/>
        <w:rPr>
          <w:color w:val="auto"/>
          <w:szCs w:val="24"/>
        </w:rPr>
      </w:pPr>
      <w:r w:rsidRPr="00014B50">
        <w:rPr>
          <w:color w:val="auto"/>
          <w:szCs w:val="24"/>
        </w:rPr>
        <w:t>—. 2005. “</w:t>
      </w:r>
      <w:proofErr w:type="spellStart"/>
      <w:r w:rsidRPr="00014B50">
        <w:rPr>
          <w:color w:val="auto"/>
          <w:szCs w:val="24"/>
        </w:rPr>
        <w:t>Gwaii</w:t>
      </w:r>
      <w:proofErr w:type="spellEnd"/>
      <w:r w:rsidRPr="00014B50">
        <w:rPr>
          <w:color w:val="auto"/>
          <w:szCs w:val="24"/>
        </w:rPr>
        <w:t xml:space="preserve"> </w:t>
      </w:r>
      <w:proofErr w:type="spellStart"/>
      <w:r w:rsidRPr="00014B50">
        <w:rPr>
          <w:color w:val="auto"/>
          <w:szCs w:val="24"/>
        </w:rPr>
        <w:t>Haanas</w:t>
      </w:r>
      <w:proofErr w:type="spellEnd"/>
      <w:r w:rsidRPr="00014B50">
        <w:rPr>
          <w:color w:val="auto"/>
          <w:szCs w:val="24"/>
        </w:rPr>
        <w:t xml:space="preserve"> Settlement Archaeology.” In </w:t>
      </w:r>
      <w:proofErr w:type="spellStart"/>
      <w:r w:rsidRPr="00014B50">
        <w:rPr>
          <w:i/>
          <w:color w:val="auto"/>
          <w:szCs w:val="24"/>
        </w:rPr>
        <w:t>Haida</w:t>
      </w:r>
      <w:proofErr w:type="spellEnd"/>
      <w:r w:rsidRPr="00014B50">
        <w:rPr>
          <w:i/>
          <w:color w:val="auto"/>
          <w:szCs w:val="24"/>
        </w:rPr>
        <w:t xml:space="preserve"> </w:t>
      </w:r>
      <w:proofErr w:type="spellStart"/>
      <w:r w:rsidRPr="00014B50">
        <w:rPr>
          <w:i/>
          <w:color w:val="auto"/>
          <w:szCs w:val="24"/>
        </w:rPr>
        <w:t>Gwaii</w:t>
      </w:r>
      <w:proofErr w:type="spellEnd"/>
      <w:r w:rsidRPr="00014B50">
        <w:rPr>
          <w:i/>
          <w:color w:val="auto"/>
          <w:szCs w:val="24"/>
        </w:rPr>
        <w:t>: Human History and Environment from the Time of Loon to the Time of the Iron People</w:t>
      </w:r>
      <w:r w:rsidRPr="00014B50">
        <w:rPr>
          <w:color w:val="auto"/>
          <w:szCs w:val="24"/>
        </w:rPr>
        <w:t xml:space="preserve">, edited by D.W. </w:t>
      </w:r>
      <w:proofErr w:type="spellStart"/>
      <w:r w:rsidRPr="00014B50">
        <w:rPr>
          <w:color w:val="auto"/>
          <w:szCs w:val="24"/>
        </w:rPr>
        <w:t>Fedje</w:t>
      </w:r>
      <w:proofErr w:type="spellEnd"/>
      <w:r w:rsidRPr="00014B50">
        <w:rPr>
          <w:color w:val="auto"/>
          <w:szCs w:val="24"/>
        </w:rPr>
        <w:t xml:space="preserve"> and R.W. </w:t>
      </w:r>
      <w:proofErr w:type="spellStart"/>
      <w:r w:rsidRPr="00014B50">
        <w:rPr>
          <w:color w:val="auto"/>
          <w:szCs w:val="24"/>
        </w:rPr>
        <w:t>Mathewes</w:t>
      </w:r>
      <w:proofErr w:type="spellEnd"/>
      <w:r w:rsidRPr="00014B50">
        <w:rPr>
          <w:color w:val="auto"/>
          <w:szCs w:val="24"/>
        </w:rPr>
        <w:t>, pp. 303-336. Vancouver: UBC Press.</w:t>
      </w:r>
    </w:p>
    <w:p w14:paraId="74A9D7F7" w14:textId="54E50284" w:rsidR="00625044" w:rsidRPr="00014B50" w:rsidRDefault="00625044" w:rsidP="007C65B3">
      <w:pPr>
        <w:ind w:left="284" w:hanging="284"/>
        <w:rPr>
          <w:color w:val="auto"/>
          <w:szCs w:val="24"/>
        </w:rPr>
      </w:pPr>
      <w:proofErr w:type="gramStart"/>
      <w:r w:rsidRPr="00CF48B5">
        <w:rPr>
          <w:color w:val="auto"/>
          <w:szCs w:val="24"/>
        </w:rPr>
        <w:t>Ackerman, R.E.</w:t>
      </w:r>
      <w:r w:rsidRPr="00CF48B5">
        <w:rPr>
          <w:rFonts w:ascii="TimesNewRomanPSMT" w:eastAsiaTheme="minorHAnsi" w:hAnsi="TimesNewRomanPSMT" w:cs="TimesNewRomanPSMT"/>
          <w:color w:val="auto"/>
          <w:szCs w:val="24"/>
          <w:lang w:val="en-CA"/>
        </w:rPr>
        <w:t xml:space="preserve"> </w:t>
      </w:r>
      <w:r w:rsidRPr="00CF48B5">
        <w:rPr>
          <w:color w:val="auto"/>
          <w:szCs w:val="24"/>
          <w:lang w:val="en-CA"/>
        </w:rPr>
        <w:t xml:space="preserve">K. C. Reid, J. D. </w:t>
      </w:r>
      <w:proofErr w:type="spellStart"/>
      <w:r w:rsidRPr="00CF48B5">
        <w:rPr>
          <w:color w:val="auto"/>
          <w:szCs w:val="24"/>
          <w:lang w:val="en-CA"/>
        </w:rPr>
        <w:t>Gallison</w:t>
      </w:r>
      <w:proofErr w:type="spellEnd"/>
      <w:r w:rsidRPr="00CF48B5">
        <w:rPr>
          <w:color w:val="auto"/>
          <w:szCs w:val="24"/>
          <w:lang w:val="en-CA"/>
        </w:rPr>
        <w:t>, &amp; M. E. Roe.</w:t>
      </w:r>
      <w:proofErr w:type="gramEnd"/>
      <w:r w:rsidRPr="00CF48B5">
        <w:rPr>
          <w:color w:val="auto"/>
          <w:szCs w:val="24"/>
          <w:lang w:val="en-CA"/>
        </w:rPr>
        <w:t xml:space="preserve"> 1985</w:t>
      </w:r>
      <w:r w:rsidRPr="00CF48B5">
        <w:rPr>
          <w:i/>
          <w:iCs/>
          <w:color w:val="auto"/>
          <w:szCs w:val="24"/>
          <w:lang w:val="en-CA"/>
        </w:rPr>
        <w:t xml:space="preserve">. </w:t>
      </w:r>
      <w:r w:rsidR="00CF48B5" w:rsidRPr="00CF48B5">
        <w:rPr>
          <w:iCs/>
          <w:color w:val="auto"/>
          <w:szCs w:val="24"/>
          <w:lang w:val="en-CA"/>
        </w:rPr>
        <w:t>“</w:t>
      </w:r>
      <w:r w:rsidRPr="00914EBD">
        <w:rPr>
          <w:iCs/>
          <w:color w:val="auto"/>
          <w:szCs w:val="24"/>
          <w:lang w:val="en-CA"/>
        </w:rPr>
        <w:t xml:space="preserve">Archaeology of </w:t>
      </w:r>
      <w:proofErr w:type="spellStart"/>
      <w:r w:rsidRPr="00914EBD">
        <w:rPr>
          <w:iCs/>
          <w:color w:val="auto"/>
          <w:szCs w:val="24"/>
          <w:lang w:val="en-CA"/>
        </w:rPr>
        <w:t>Heceta</w:t>
      </w:r>
      <w:proofErr w:type="spellEnd"/>
      <w:r w:rsidRPr="00914EBD">
        <w:rPr>
          <w:iCs/>
          <w:color w:val="auto"/>
          <w:szCs w:val="24"/>
          <w:lang w:val="en-CA"/>
        </w:rPr>
        <w:t xml:space="preserve"> Island: A Survey of 16 Timber Harvest Units in the </w:t>
      </w:r>
      <w:proofErr w:type="spellStart"/>
      <w:r w:rsidRPr="00914EBD">
        <w:rPr>
          <w:iCs/>
          <w:color w:val="auto"/>
          <w:szCs w:val="24"/>
          <w:lang w:val="en-CA"/>
        </w:rPr>
        <w:t>Tongass</w:t>
      </w:r>
      <w:proofErr w:type="spellEnd"/>
      <w:r w:rsidRPr="00914EBD">
        <w:rPr>
          <w:iCs/>
          <w:color w:val="auto"/>
          <w:szCs w:val="24"/>
          <w:lang w:val="en-CA"/>
        </w:rPr>
        <w:t xml:space="preserve"> National Forest, Southeastern Alaska.</w:t>
      </w:r>
      <w:r w:rsidR="00914EBD">
        <w:rPr>
          <w:iCs/>
          <w:color w:val="auto"/>
          <w:szCs w:val="24"/>
          <w:lang w:val="en-CA"/>
        </w:rPr>
        <w:t>”</w:t>
      </w:r>
      <w:r w:rsidRPr="00CF48B5">
        <w:rPr>
          <w:i/>
          <w:iCs/>
          <w:color w:val="auto"/>
          <w:szCs w:val="24"/>
          <w:lang w:val="en-CA"/>
        </w:rPr>
        <w:t xml:space="preserve"> </w:t>
      </w:r>
      <w:proofErr w:type="gramStart"/>
      <w:r w:rsidRPr="00CF48B5">
        <w:rPr>
          <w:color w:val="auto"/>
          <w:szCs w:val="24"/>
          <w:lang w:val="en-CA"/>
        </w:rPr>
        <w:t>Unpublished report on file at the Center for Northwest Anthropology</w:t>
      </w:r>
      <w:r w:rsidR="007C65B3" w:rsidRPr="00CF48B5">
        <w:rPr>
          <w:color w:val="auto"/>
          <w:szCs w:val="24"/>
          <w:lang w:val="en-CA"/>
        </w:rPr>
        <w:t>.</w:t>
      </w:r>
      <w:proofErr w:type="gramEnd"/>
      <w:r w:rsidRPr="00CF48B5">
        <w:rPr>
          <w:color w:val="auto"/>
          <w:szCs w:val="24"/>
          <w:lang w:val="en-CA"/>
        </w:rPr>
        <w:t xml:space="preserve"> Project Report Number </w:t>
      </w:r>
      <w:r w:rsidR="007C65B3" w:rsidRPr="00CF48B5">
        <w:rPr>
          <w:color w:val="auto"/>
          <w:szCs w:val="24"/>
          <w:lang w:val="en-CA"/>
        </w:rPr>
        <w:t>3</w:t>
      </w:r>
      <w:r w:rsidRPr="00CF48B5">
        <w:rPr>
          <w:color w:val="auto"/>
          <w:szCs w:val="24"/>
          <w:lang w:val="en-CA"/>
        </w:rPr>
        <w:t>,</w:t>
      </w:r>
      <w:r w:rsidR="007C65B3" w:rsidRPr="00914EBD">
        <w:rPr>
          <w:color w:val="auto"/>
          <w:szCs w:val="24"/>
          <w:lang w:val="en-CA"/>
        </w:rPr>
        <w:t xml:space="preserve"> </w:t>
      </w:r>
      <w:r w:rsidRPr="00914EBD">
        <w:rPr>
          <w:color w:val="auto"/>
          <w:szCs w:val="24"/>
          <w:lang w:val="en-CA"/>
        </w:rPr>
        <w:t>144. Pullman: Washington State University</w:t>
      </w:r>
      <w:r w:rsidR="00CF48B5" w:rsidRPr="00914EBD">
        <w:rPr>
          <w:color w:val="auto"/>
          <w:szCs w:val="24"/>
          <w:lang w:val="en-CA"/>
        </w:rPr>
        <w:t>.</w:t>
      </w:r>
    </w:p>
    <w:p w14:paraId="1E18B32B" w14:textId="77777777" w:rsidR="00142FB0" w:rsidRPr="00014B50" w:rsidRDefault="00142FB0" w:rsidP="00142FB0">
      <w:pPr>
        <w:ind w:left="284" w:hanging="284"/>
        <w:rPr>
          <w:color w:val="auto"/>
          <w:szCs w:val="24"/>
        </w:rPr>
      </w:pPr>
      <w:r w:rsidRPr="00014B50">
        <w:rPr>
          <w:color w:val="auto"/>
          <w:szCs w:val="24"/>
        </w:rPr>
        <w:t xml:space="preserve">Ames, K.M. 1998. “Economic Prehistory of the Northern British Columbia Coast.” </w:t>
      </w:r>
      <w:r w:rsidRPr="00014B50">
        <w:rPr>
          <w:i/>
          <w:color w:val="auto"/>
          <w:szCs w:val="24"/>
        </w:rPr>
        <w:t xml:space="preserve">Arctic Anthropology </w:t>
      </w:r>
      <w:r w:rsidRPr="00014B50">
        <w:rPr>
          <w:color w:val="auto"/>
          <w:szCs w:val="24"/>
        </w:rPr>
        <w:t>35(1): 68-87.</w:t>
      </w:r>
    </w:p>
    <w:p w14:paraId="349E4B45" w14:textId="77777777" w:rsidR="00142FB0" w:rsidRPr="00014B50" w:rsidRDefault="00142FB0" w:rsidP="00142FB0">
      <w:pPr>
        <w:ind w:left="284" w:hanging="284"/>
        <w:rPr>
          <w:color w:val="auto"/>
          <w:szCs w:val="24"/>
        </w:rPr>
      </w:pPr>
      <w:r w:rsidRPr="00014B50">
        <w:rPr>
          <w:color w:val="auto"/>
          <w:szCs w:val="24"/>
        </w:rPr>
        <w:t xml:space="preserve">—. 2005. </w:t>
      </w:r>
      <w:r w:rsidRPr="00014B50">
        <w:rPr>
          <w:i/>
          <w:color w:val="auto"/>
          <w:szCs w:val="24"/>
        </w:rPr>
        <w:t>The North Coast Prehistory Project Excavations in Prince Rupert Harbour, British Columbia: The Artifacts</w:t>
      </w:r>
      <w:r w:rsidRPr="00014B50">
        <w:rPr>
          <w:color w:val="auto"/>
          <w:szCs w:val="24"/>
        </w:rPr>
        <w:t>. BAR International Series, 1342. Oxford UK: British Archaeological Reports.</w:t>
      </w:r>
    </w:p>
    <w:p w14:paraId="37BA56F5" w14:textId="77777777" w:rsidR="00142FB0" w:rsidRPr="00014B50" w:rsidRDefault="00142FB0" w:rsidP="00142FB0">
      <w:pPr>
        <w:ind w:left="284" w:hanging="284"/>
        <w:rPr>
          <w:color w:val="auto"/>
          <w:szCs w:val="24"/>
        </w:rPr>
      </w:pPr>
      <w:r w:rsidRPr="00014B50">
        <w:rPr>
          <w:color w:val="auto"/>
          <w:szCs w:val="24"/>
        </w:rPr>
        <w:t xml:space="preserve">Ames, K.M. and A. Martindale. 2014. “Rope Bridges and Cables: A Synthesis of Prince Rupert Harbour Archaeology.” </w:t>
      </w:r>
      <w:r w:rsidRPr="00014B50">
        <w:rPr>
          <w:i/>
          <w:color w:val="auto"/>
          <w:szCs w:val="24"/>
        </w:rPr>
        <w:t>Canadian Journal of Archaeology</w:t>
      </w:r>
      <w:r w:rsidRPr="00014B50">
        <w:rPr>
          <w:color w:val="auto"/>
          <w:szCs w:val="24"/>
        </w:rPr>
        <w:t xml:space="preserve"> 38(1):140-178.</w:t>
      </w:r>
    </w:p>
    <w:p w14:paraId="02A6B406" w14:textId="77777777" w:rsidR="00142FB0" w:rsidRPr="00014B50" w:rsidRDefault="00142FB0" w:rsidP="00142FB0">
      <w:pPr>
        <w:ind w:left="284" w:hanging="284"/>
        <w:rPr>
          <w:color w:val="auto"/>
          <w:szCs w:val="24"/>
        </w:rPr>
      </w:pPr>
      <w:r w:rsidRPr="00014B50">
        <w:rPr>
          <w:color w:val="auto"/>
          <w:szCs w:val="24"/>
        </w:rPr>
        <w:t xml:space="preserve">Ames, K.M. and H.D.G. Maschner. 1999. </w:t>
      </w:r>
      <w:r w:rsidRPr="00014B50">
        <w:rPr>
          <w:i/>
          <w:iCs/>
          <w:color w:val="auto"/>
          <w:szCs w:val="24"/>
          <w:lang w:val="en-CA"/>
        </w:rPr>
        <w:t>Peoples of the Northwest Coast: Their Archaeology and Prehistory</w:t>
      </w:r>
      <w:r w:rsidRPr="00014B50">
        <w:rPr>
          <w:color w:val="auto"/>
          <w:szCs w:val="24"/>
          <w:lang w:val="en-CA"/>
        </w:rPr>
        <w:t>. London, UK: Thames and Hudson Ltd.</w:t>
      </w:r>
    </w:p>
    <w:p w14:paraId="5054F470" w14:textId="6E427208" w:rsidR="00142FB0" w:rsidRPr="00914EBD" w:rsidRDefault="00142FB0" w:rsidP="00142FB0">
      <w:pPr>
        <w:ind w:left="284" w:hanging="284"/>
        <w:rPr>
          <w:color w:val="auto"/>
          <w:szCs w:val="24"/>
        </w:rPr>
      </w:pPr>
      <w:r w:rsidRPr="00914EBD">
        <w:rPr>
          <w:color w:val="auto"/>
          <w:szCs w:val="24"/>
        </w:rPr>
        <w:t>Archer, D.J.W. 1992.</w:t>
      </w:r>
      <w:r w:rsidRPr="00914EBD">
        <w:rPr>
          <w:color w:val="auto"/>
          <w:szCs w:val="24"/>
        </w:rPr>
        <w:tab/>
      </w:r>
      <w:proofErr w:type="gramStart"/>
      <w:r w:rsidR="00914EBD" w:rsidRPr="00914EBD">
        <w:rPr>
          <w:color w:val="auto"/>
          <w:szCs w:val="24"/>
        </w:rPr>
        <w:t>“</w:t>
      </w:r>
      <w:r w:rsidRPr="00914EBD">
        <w:rPr>
          <w:color w:val="auto"/>
          <w:szCs w:val="24"/>
        </w:rPr>
        <w:t>Results of the Prince Rupert Harbour Radiocarbon Dating Project.</w:t>
      </w:r>
      <w:r w:rsidR="00914EBD" w:rsidRPr="00914EBD">
        <w:rPr>
          <w:color w:val="auto"/>
          <w:szCs w:val="24"/>
        </w:rPr>
        <w:t>”</w:t>
      </w:r>
      <w:proofErr w:type="gramEnd"/>
      <w:r w:rsidRPr="00914EBD">
        <w:rPr>
          <w:color w:val="auto"/>
          <w:szCs w:val="24"/>
        </w:rPr>
        <w:t xml:space="preserve"> Report on file, British Columbia Heritage Trust.</w:t>
      </w:r>
    </w:p>
    <w:p w14:paraId="6632579C" w14:textId="230D55BF" w:rsidR="00142FB0" w:rsidRPr="00014B50" w:rsidRDefault="00142FB0" w:rsidP="00142FB0">
      <w:pPr>
        <w:ind w:left="284" w:hanging="284"/>
        <w:rPr>
          <w:color w:val="auto"/>
          <w:szCs w:val="24"/>
        </w:rPr>
      </w:pPr>
      <w:r w:rsidRPr="00914EBD">
        <w:rPr>
          <w:color w:val="auto"/>
          <w:szCs w:val="24"/>
        </w:rPr>
        <w:t xml:space="preserve">—. 2000. </w:t>
      </w:r>
      <w:r w:rsidR="00914EBD" w:rsidRPr="00914EBD">
        <w:rPr>
          <w:color w:val="auto"/>
          <w:szCs w:val="24"/>
        </w:rPr>
        <w:t>“</w:t>
      </w:r>
      <w:r w:rsidRPr="00914EBD">
        <w:rPr>
          <w:color w:val="auto"/>
          <w:szCs w:val="24"/>
        </w:rPr>
        <w:t>The Dundas Islands Archaeological Project: a Report on the 1998 Field Season. Permit Report No. 1998-182.</w:t>
      </w:r>
      <w:r w:rsidR="00914EBD" w:rsidRPr="00914EBD">
        <w:rPr>
          <w:color w:val="auto"/>
          <w:szCs w:val="24"/>
        </w:rPr>
        <w:t>”</w:t>
      </w:r>
      <w:r w:rsidRPr="00914EBD">
        <w:rPr>
          <w:color w:val="auto"/>
          <w:szCs w:val="24"/>
        </w:rPr>
        <w:t xml:space="preserve"> Victoria</w:t>
      </w:r>
      <w:r w:rsidR="00914EBD">
        <w:rPr>
          <w:color w:val="auto"/>
          <w:szCs w:val="24"/>
        </w:rPr>
        <w:t xml:space="preserve">, </w:t>
      </w:r>
      <w:proofErr w:type="spellStart"/>
      <w:r w:rsidR="00914EBD">
        <w:rPr>
          <w:color w:val="auto"/>
          <w:szCs w:val="24"/>
        </w:rPr>
        <w:t>BC</w:t>
      </w:r>
      <w:proofErr w:type="gramStart"/>
      <w:r w:rsidR="00914EBD">
        <w:rPr>
          <w:color w:val="auto"/>
          <w:szCs w:val="24"/>
        </w:rPr>
        <w:t>:</w:t>
      </w:r>
      <w:r w:rsidRPr="00914EBD">
        <w:rPr>
          <w:color w:val="auto"/>
          <w:szCs w:val="24"/>
        </w:rPr>
        <w:t>Archaeology</w:t>
      </w:r>
      <w:proofErr w:type="spellEnd"/>
      <w:proofErr w:type="gramEnd"/>
      <w:r w:rsidRPr="00914EBD">
        <w:rPr>
          <w:color w:val="auto"/>
          <w:szCs w:val="24"/>
        </w:rPr>
        <w:t xml:space="preserve"> Branch.</w:t>
      </w:r>
    </w:p>
    <w:p w14:paraId="3457F43C" w14:textId="77777777" w:rsidR="00142FB0" w:rsidRPr="00014B50" w:rsidRDefault="00142FB0" w:rsidP="00142FB0">
      <w:pPr>
        <w:ind w:left="284" w:hanging="284"/>
        <w:rPr>
          <w:color w:val="auto"/>
          <w:szCs w:val="24"/>
        </w:rPr>
      </w:pPr>
      <w:r w:rsidRPr="00014B50">
        <w:rPr>
          <w:color w:val="auto"/>
          <w:szCs w:val="24"/>
        </w:rPr>
        <w:t xml:space="preserve">—. </w:t>
      </w:r>
      <w:r w:rsidRPr="00014B50">
        <w:rPr>
          <w:bCs/>
          <w:color w:val="auto"/>
          <w:szCs w:val="24"/>
        </w:rPr>
        <w:t xml:space="preserve">2001. “Village Patterns and the Emergence of Ranked Society in the Prince </w:t>
      </w:r>
      <w:r w:rsidRPr="00014B50">
        <w:rPr>
          <w:color w:val="auto"/>
          <w:szCs w:val="24"/>
        </w:rPr>
        <w:t xml:space="preserve">Rupert Area.” In </w:t>
      </w:r>
      <w:r w:rsidRPr="00014B50">
        <w:rPr>
          <w:i/>
          <w:color w:val="auto"/>
          <w:szCs w:val="24"/>
        </w:rPr>
        <w:t>Perspectives on Northern Northwest Coast Prehistory</w:t>
      </w:r>
      <w:r w:rsidRPr="00014B50">
        <w:rPr>
          <w:color w:val="auto"/>
          <w:szCs w:val="24"/>
        </w:rPr>
        <w:t xml:space="preserve">, edited by J. S. Cybulski, pp. 203-222. </w:t>
      </w:r>
      <w:proofErr w:type="gramStart"/>
      <w:r w:rsidRPr="00014B50">
        <w:rPr>
          <w:color w:val="auto"/>
          <w:szCs w:val="24"/>
        </w:rPr>
        <w:t>Mercury Series Paper 160.</w:t>
      </w:r>
      <w:proofErr w:type="gramEnd"/>
      <w:r w:rsidRPr="00014B50">
        <w:rPr>
          <w:color w:val="auto"/>
          <w:szCs w:val="24"/>
        </w:rPr>
        <w:t xml:space="preserve"> Ottawa: Archaeological Survey of Canada, Canadian Museum of Civilization.</w:t>
      </w:r>
    </w:p>
    <w:p w14:paraId="2D415F3D" w14:textId="01DC3631" w:rsidR="00142FB0" w:rsidRPr="00914EBD" w:rsidRDefault="00142FB0" w:rsidP="00142FB0">
      <w:pPr>
        <w:ind w:left="284" w:hanging="284"/>
        <w:rPr>
          <w:color w:val="auto"/>
          <w:szCs w:val="24"/>
        </w:rPr>
      </w:pPr>
      <w:r w:rsidRPr="00914EBD">
        <w:rPr>
          <w:color w:val="auto"/>
          <w:szCs w:val="24"/>
        </w:rPr>
        <w:t xml:space="preserve">—. 2011. </w:t>
      </w:r>
      <w:r w:rsidR="00914EBD" w:rsidRPr="00914EBD">
        <w:rPr>
          <w:color w:val="auto"/>
          <w:szCs w:val="24"/>
        </w:rPr>
        <w:t>“</w:t>
      </w:r>
      <w:r w:rsidRPr="00914EBD">
        <w:rPr>
          <w:color w:val="auto"/>
          <w:szCs w:val="24"/>
        </w:rPr>
        <w:t>Archaeological Monitoring of a Boardwalk Replacement Project on the Lucy Islands, near Prince Rupert, B.C.</w:t>
      </w:r>
      <w:r w:rsidR="00914EBD" w:rsidRPr="00914EBD">
        <w:rPr>
          <w:color w:val="auto"/>
          <w:szCs w:val="24"/>
        </w:rPr>
        <w:t>”</w:t>
      </w:r>
      <w:r w:rsidRPr="00914EBD">
        <w:rPr>
          <w:color w:val="auto"/>
          <w:szCs w:val="24"/>
        </w:rPr>
        <w:t xml:space="preserve"> Permit No. 2012-0352. Victoria, BC: Archaeology Branch.</w:t>
      </w:r>
    </w:p>
    <w:p w14:paraId="3FEF7EE7" w14:textId="12BE78E3" w:rsidR="00142FB0" w:rsidRPr="00014B50" w:rsidRDefault="00142FB0" w:rsidP="00142FB0">
      <w:pPr>
        <w:ind w:left="284" w:hanging="284"/>
        <w:rPr>
          <w:color w:val="auto"/>
          <w:szCs w:val="24"/>
        </w:rPr>
      </w:pPr>
      <w:r w:rsidRPr="00914EBD">
        <w:rPr>
          <w:color w:val="auto"/>
          <w:szCs w:val="24"/>
        </w:rPr>
        <w:t xml:space="preserve">Archer, D.J.W. and C. Mueller. 2013. </w:t>
      </w:r>
      <w:r w:rsidR="00914EBD" w:rsidRPr="00914EBD">
        <w:rPr>
          <w:color w:val="auto"/>
          <w:szCs w:val="24"/>
        </w:rPr>
        <w:t>“</w:t>
      </w:r>
      <w:r w:rsidRPr="00914EBD">
        <w:rPr>
          <w:color w:val="auto"/>
          <w:szCs w:val="24"/>
        </w:rPr>
        <w:t>Archaeological Investigations at GbTp-1 on the Lucy Islands, near Prince Rupert, B.C.</w:t>
      </w:r>
      <w:r w:rsidR="00914EBD" w:rsidRPr="00914EBD">
        <w:rPr>
          <w:color w:val="auto"/>
          <w:szCs w:val="24"/>
        </w:rPr>
        <w:t>”</w:t>
      </w:r>
      <w:r w:rsidRPr="00914EBD">
        <w:rPr>
          <w:color w:val="auto"/>
          <w:szCs w:val="24"/>
        </w:rPr>
        <w:t xml:space="preserve"> Permit Report No. 2012-0319. Victoria, BC: Archaeology Branch.</w:t>
      </w:r>
    </w:p>
    <w:p w14:paraId="61E4324B" w14:textId="77777777" w:rsidR="00142FB0" w:rsidRPr="00014B50" w:rsidRDefault="00142FB0" w:rsidP="00142FB0">
      <w:pPr>
        <w:ind w:left="284" w:hanging="284"/>
        <w:rPr>
          <w:color w:val="auto"/>
          <w:szCs w:val="24"/>
        </w:rPr>
      </w:pPr>
      <w:r w:rsidRPr="00014B50">
        <w:rPr>
          <w:color w:val="auto"/>
          <w:szCs w:val="24"/>
        </w:rPr>
        <w:t xml:space="preserve">Blaise, B., J.J. </w:t>
      </w:r>
      <w:proofErr w:type="spellStart"/>
      <w:r w:rsidRPr="00014B50">
        <w:rPr>
          <w:color w:val="auto"/>
          <w:szCs w:val="24"/>
        </w:rPr>
        <w:t>Clague</w:t>
      </w:r>
      <w:proofErr w:type="spellEnd"/>
      <w:r w:rsidRPr="00014B50">
        <w:rPr>
          <w:color w:val="auto"/>
          <w:szCs w:val="24"/>
        </w:rPr>
        <w:t xml:space="preserve">, and R.W. </w:t>
      </w:r>
      <w:proofErr w:type="spellStart"/>
      <w:r w:rsidRPr="00014B50">
        <w:rPr>
          <w:color w:val="auto"/>
          <w:szCs w:val="24"/>
        </w:rPr>
        <w:t>Mathewes</w:t>
      </w:r>
      <w:proofErr w:type="spellEnd"/>
      <w:r w:rsidRPr="00014B50">
        <w:rPr>
          <w:color w:val="auto"/>
          <w:szCs w:val="24"/>
        </w:rPr>
        <w:t xml:space="preserve">. 1990. “Time of the Maximum Late Wisconsin Glaciation, West Coast of Canada.” </w:t>
      </w:r>
      <w:r w:rsidRPr="00014B50">
        <w:rPr>
          <w:i/>
          <w:color w:val="auto"/>
          <w:szCs w:val="24"/>
        </w:rPr>
        <w:t>Quaternary Research</w:t>
      </w:r>
      <w:r w:rsidRPr="00014B50">
        <w:rPr>
          <w:color w:val="auto"/>
          <w:szCs w:val="24"/>
        </w:rPr>
        <w:t xml:space="preserve"> 34:282-295.</w:t>
      </w:r>
    </w:p>
    <w:p w14:paraId="0A6A40F0" w14:textId="1E26B66A" w:rsidR="00142FB0" w:rsidRPr="00014B50" w:rsidRDefault="00142FB0" w:rsidP="00142FB0">
      <w:pPr>
        <w:ind w:left="284" w:hanging="284"/>
        <w:rPr>
          <w:color w:val="auto"/>
          <w:szCs w:val="24"/>
        </w:rPr>
      </w:pPr>
      <w:proofErr w:type="spellStart"/>
      <w:r w:rsidRPr="00014B50">
        <w:rPr>
          <w:color w:val="auto"/>
          <w:szCs w:val="24"/>
        </w:rPr>
        <w:t>Blukis</w:t>
      </w:r>
      <w:proofErr w:type="spellEnd"/>
      <w:r w:rsidRPr="00014B50">
        <w:rPr>
          <w:color w:val="auto"/>
          <w:szCs w:val="24"/>
        </w:rPr>
        <w:t xml:space="preserve"> </w:t>
      </w:r>
      <w:proofErr w:type="spellStart"/>
      <w:r w:rsidRPr="00014B50">
        <w:rPr>
          <w:color w:val="auto"/>
          <w:szCs w:val="24"/>
        </w:rPr>
        <w:t>Onat</w:t>
      </w:r>
      <w:proofErr w:type="spellEnd"/>
      <w:r w:rsidRPr="00014B50">
        <w:rPr>
          <w:color w:val="auto"/>
          <w:szCs w:val="24"/>
        </w:rPr>
        <w:t xml:space="preserve">, A.R. 1985. “The </w:t>
      </w:r>
      <w:r w:rsidR="00646E4C">
        <w:rPr>
          <w:color w:val="auto"/>
          <w:szCs w:val="24"/>
        </w:rPr>
        <w:t>M</w:t>
      </w:r>
      <w:r w:rsidRPr="00014B50">
        <w:rPr>
          <w:color w:val="auto"/>
          <w:szCs w:val="24"/>
        </w:rPr>
        <w:t xml:space="preserve">ultifunctional </w:t>
      </w:r>
      <w:r w:rsidR="00646E4C">
        <w:rPr>
          <w:color w:val="auto"/>
          <w:szCs w:val="24"/>
        </w:rPr>
        <w:t>U</w:t>
      </w:r>
      <w:r w:rsidRPr="00014B50">
        <w:rPr>
          <w:color w:val="auto"/>
          <w:szCs w:val="24"/>
        </w:rPr>
        <w:t xml:space="preserve">se of </w:t>
      </w:r>
      <w:r w:rsidR="00646E4C">
        <w:rPr>
          <w:color w:val="auto"/>
          <w:szCs w:val="24"/>
        </w:rPr>
        <w:t>S</w:t>
      </w:r>
      <w:r w:rsidRPr="00014B50">
        <w:rPr>
          <w:color w:val="auto"/>
          <w:szCs w:val="24"/>
        </w:rPr>
        <w:t xml:space="preserve">hellfish </w:t>
      </w:r>
      <w:r w:rsidR="00646E4C">
        <w:rPr>
          <w:color w:val="auto"/>
          <w:szCs w:val="24"/>
        </w:rPr>
        <w:t>R</w:t>
      </w:r>
      <w:r w:rsidRPr="00014B50">
        <w:rPr>
          <w:color w:val="auto"/>
          <w:szCs w:val="24"/>
        </w:rPr>
        <w:t xml:space="preserve">emains: from </w:t>
      </w:r>
      <w:r w:rsidR="00646E4C">
        <w:rPr>
          <w:color w:val="auto"/>
          <w:szCs w:val="24"/>
        </w:rPr>
        <w:t>G</w:t>
      </w:r>
      <w:r w:rsidRPr="00014B50">
        <w:rPr>
          <w:color w:val="auto"/>
          <w:szCs w:val="24"/>
        </w:rPr>
        <w:t xml:space="preserve">arbage to </w:t>
      </w:r>
      <w:r w:rsidR="00646E4C">
        <w:rPr>
          <w:color w:val="auto"/>
          <w:szCs w:val="24"/>
        </w:rPr>
        <w:t>C</w:t>
      </w:r>
      <w:r w:rsidRPr="00014B50">
        <w:rPr>
          <w:color w:val="auto"/>
          <w:szCs w:val="24"/>
        </w:rPr>
        <w:t xml:space="preserve">ommunity </w:t>
      </w:r>
      <w:r w:rsidR="00646E4C">
        <w:rPr>
          <w:color w:val="auto"/>
          <w:szCs w:val="24"/>
        </w:rPr>
        <w:t>E</w:t>
      </w:r>
      <w:r w:rsidRPr="00014B50">
        <w:rPr>
          <w:color w:val="auto"/>
          <w:szCs w:val="24"/>
        </w:rPr>
        <w:t xml:space="preserve">ngineering.” </w:t>
      </w:r>
      <w:r w:rsidRPr="00014B50">
        <w:rPr>
          <w:i/>
          <w:color w:val="auto"/>
          <w:szCs w:val="24"/>
        </w:rPr>
        <w:t>Northwest Anthropological Research Notes</w:t>
      </w:r>
      <w:r w:rsidRPr="00014B50">
        <w:rPr>
          <w:color w:val="auto"/>
          <w:szCs w:val="24"/>
        </w:rPr>
        <w:t xml:space="preserve"> 19:201–207.</w:t>
      </w:r>
    </w:p>
    <w:p w14:paraId="2949FAED" w14:textId="77777777" w:rsidR="00142FB0" w:rsidRPr="00014B50" w:rsidRDefault="00142FB0" w:rsidP="00142FB0">
      <w:pPr>
        <w:ind w:left="284" w:hanging="284"/>
        <w:rPr>
          <w:color w:val="auto"/>
          <w:szCs w:val="24"/>
        </w:rPr>
      </w:pPr>
      <w:proofErr w:type="gramStart"/>
      <w:r w:rsidRPr="00014B50">
        <w:rPr>
          <w:color w:val="auto"/>
          <w:szCs w:val="24"/>
        </w:rPr>
        <w:lastRenderedPageBreak/>
        <w:t>Boas, F. 1916 [1970].</w:t>
      </w:r>
      <w:proofErr w:type="gramEnd"/>
      <w:r w:rsidRPr="00014B50">
        <w:rPr>
          <w:color w:val="auto"/>
          <w:szCs w:val="24"/>
        </w:rPr>
        <w:t xml:space="preserve"> </w:t>
      </w:r>
      <w:proofErr w:type="gramStart"/>
      <w:r w:rsidRPr="00014B50">
        <w:rPr>
          <w:i/>
          <w:color w:val="auto"/>
          <w:szCs w:val="24"/>
        </w:rPr>
        <w:t>Tsimshian Mythology</w:t>
      </w:r>
      <w:r w:rsidRPr="00014B50">
        <w:rPr>
          <w:color w:val="auto"/>
          <w:szCs w:val="24"/>
        </w:rPr>
        <w:t xml:space="preserve"> </w:t>
      </w:r>
      <w:r w:rsidRPr="00014B50">
        <w:rPr>
          <w:i/>
          <w:color w:val="auto"/>
          <w:szCs w:val="24"/>
        </w:rPr>
        <w:t>Based on Texts Recorded by Henry W. Tate</w:t>
      </w:r>
      <w:r w:rsidRPr="00014B50">
        <w:rPr>
          <w:color w:val="auto"/>
          <w:szCs w:val="24"/>
        </w:rPr>
        <w:t>.</w:t>
      </w:r>
      <w:proofErr w:type="gramEnd"/>
      <w:r w:rsidRPr="00014B50">
        <w:rPr>
          <w:color w:val="auto"/>
          <w:szCs w:val="24"/>
        </w:rPr>
        <w:t xml:space="preserve"> London: Johnson Reprint Company (original published in 1916 in Annual Report of the U.S. Bureau of Ethnology 1909-1910).</w:t>
      </w:r>
    </w:p>
    <w:p w14:paraId="162C115E" w14:textId="77777777" w:rsidR="00142FB0" w:rsidRPr="00014B50" w:rsidRDefault="00142FB0" w:rsidP="00142FB0">
      <w:pPr>
        <w:ind w:left="284" w:hanging="284"/>
        <w:rPr>
          <w:color w:val="auto"/>
          <w:szCs w:val="24"/>
        </w:rPr>
      </w:pPr>
      <w:r w:rsidRPr="00014B50">
        <w:rPr>
          <w:color w:val="auto"/>
          <w:szCs w:val="24"/>
        </w:rPr>
        <w:t xml:space="preserve">Brewster, N. and A. Martindale. 2011. “An Archaeological History of Holocene Fish Use in the Dundas Islands Group, British Columbia.” In </w:t>
      </w:r>
      <w:r w:rsidRPr="00014B50">
        <w:rPr>
          <w:i/>
          <w:color w:val="auto"/>
          <w:szCs w:val="24"/>
        </w:rPr>
        <w:t>The Archaeology of North Pacific Fisheries</w:t>
      </w:r>
      <w:r w:rsidRPr="00014B50">
        <w:rPr>
          <w:color w:val="auto"/>
          <w:szCs w:val="24"/>
        </w:rPr>
        <w:t>, edited by M.L. Moss and A. Cannon, pp. 247-264. Fairbanks: University of Alaska Press.</w:t>
      </w:r>
    </w:p>
    <w:p w14:paraId="33A310A0" w14:textId="77777777" w:rsidR="00142FB0" w:rsidRPr="00014B50" w:rsidRDefault="00142FB0" w:rsidP="00142FB0">
      <w:pPr>
        <w:ind w:left="284" w:hanging="284"/>
        <w:rPr>
          <w:color w:val="auto"/>
          <w:szCs w:val="24"/>
        </w:rPr>
      </w:pPr>
      <w:proofErr w:type="spellStart"/>
      <w:r w:rsidRPr="00014B50">
        <w:rPr>
          <w:color w:val="auto"/>
          <w:szCs w:val="24"/>
        </w:rPr>
        <w:t>Bronk</w:t>
      </w:r>
      <w:proofErr w:type="spellEnd"/>
      <w:r w:rsidRPr="00014B50">
        <w:rPr>
          <w:color w:val="auto"/>
          <w:szCs w:val="24"/>
        </w:rPr>
        <w:t xml:space="preserve"> Ramsey, C. 2013. </w:t>
      </w:r>
      <w:proofErr w:type="spellStart"/>
      <w:r w:rsidRPr="00014B50">
        <w:rPr>
          <w:color w:val="auto"/>
          <w:szCs w:val="24"/>
        </w:rPr>
        <w:t>OxCal</w:t>
      </w:r>
      <w:proofErr w:type="spellEnd"/>
      <w:r w:rsidRPr="00014B50">
        <w:rPr>
          <w:color w:val="auto"/>
          <w:szCs w:val="24"/>
        </w:rPr>
        <w:t xml:space="preserve"> Program V. 4.2.3 </w:t>
      </w:r>
      <w:hyperlink r:id="rId9" w:history="1">
        <w:r w:rsidRPr="00014B50">
          <w:rPr>
            <w:rStyle w:val="Hyperlink"/>
            <w:i/>
            <w:iCs/>
            <w:color w:val="auto"/>
            <w:szCs w:val="24"/>
          </w:rPr>
          <w:t>http://c14.arch.ox.ac.uk/embed.php?File=oxcal.html</w:t>
        </w:r>
      </w:hyperlink>
      <w:r w:rsidRPr="00014B50">
        <w:rPr>
          <w:i/>
          <w:iCs/>
          <w:color w:val="auto"/>
          <w:szCs w:val="24"/>
        </w:rPr>
        <w:t> </w:t>
      </w:r>
      <w:r w:rsidRPr="00014B50">
        <w:rPr>
          <w:iCs/>
          <w:color w:val="auto"/>
          <w:szCs w:val="24"/>
        </w:rPr>
        <w:t>(Accessed 12/08/2014)</w:t>
      </w:r>
      <w:r w:rsidRPr="00014B50">
        <w:rPr>
          <w:color w:val="auto"/>
          <w:szCs w:val="24"/>
        </w:rPr>
        <w:t>.</w:t>
      </w:r>
    </w:p>
    <w:p w14:paraId="11C19CED" w14:textId="77777777" w:rsidR="00142FB0" w:rsidRPr="00014B50" w:rsidRDefault="00142FB0" w:rsidP="00142FB0">
      <w:pPr>
        <w:ind w:left="284" w:hanging="284"/>
        <w:rPr>
          <w:color w:val="auto"/>
          <w:szCs w:val="24"/>
        </w:rPr>
      </w:pPr>
      <w:proofErr w:type="spellStart"/>
      <w:proofErr w:type="gramStart"/>
      <w:r w:rsidRPr="00014B50">
        <w:rPr>
          <w:color w:val="auto"/>
          <w:szCs w:val="24"/>
        </w:rPr>
        <w:t>Burchell</w:t>
      </w:r>
      <w:proofErr w:type="spellEnd"/>
      <w:r w:rsidRPr="00014B50">
        <w:rPr>
          <w:color w:val="auto"/>
          <w:szCs w:val="24"/>
        </w:rPr>
        <w:t xml:space="preserve">, M., N. Hallman, A. Martindale, A. Cannon, and B.R. </w:t>
      </w:r>
      <w:proofErr w:type="spellStart"/>
      <w:r w:rsidRPr="00014B50">
        <w:rPr>
          <w:color w:val="auto"/>
          <w:szCs w:val="24"/>
        </w:rPr>
        <w:t>Schöne</w:t>
      </w:r>
      <w:proofErr w:type="spellEnd"/>
      <w:r w:rsidRPr="00014B50">
        <w:rPr>
          <w:color w:val="auto"/>
          <w:szCs w:val="24"/>
        </w:rPr>
        <w:t>.</w:t>
      </w:r>
      <w:proofErr w:type="gramEnd"/>
      <w:r w:rsidRPr="00014B50">
        <w:rPr>
          <w:color w:val="auto"/>
          <w:szCs w:val="24"/>
        </w:rPr>
        <w:t xml:space="preserve"> 2013. “Seasonality and Intensity of Shellfish Harvesting on the North Coast of British Columbia.”</w:t>
      </w:r>
      <w:r w:rsidRPr="00014B50">
        <w:rPr>
          <w:i/>
          <w:iCs/>
          <w:color w:val="auto"/>
          <w:szCs w:val="24"/>
        </w:rPr>
        <w:t> Journal of Island and Coastal Archaeology</w:t>
      </w:r>
      <w:r w:rsidRPr="00014B50">
        <w:rPr>
          <w:color w:val="auto"/>
          <w:szCs w:val="24"/>
        </w:rPr>
        <w:t xml:space="preserve"> 8:152-169.</w:t>
      </w:r>
    </w:p>
    <w:p w14:paraId="4BADD88F" w14:textId="77777777" w:rsidR="00142FB0" w:rsidRPr="00014B50" w:rsidRDefault="00142FB0" w:rsidP="00142FB0">
      <w:pPr>
        <w:ind w:left="284" w:hanging="284"/>
        <w:rPr>
          <w:color w:val="auto"/>
          <w:szCs w:val="24"/>
        </w:rPr>
      </w:pPr>
      <w:proofErr w:type="gramStart"/>
      <w:r w:rsidRPr="00014B50">
        <w:rPr>
          <w:color w:val="auto"/>
          <w:szCs w:val="24"/>
        </w:rPr>
        <w:t>Cannon, A. 2000a.</w:t>
      </w:r>
      <w:proofErr w:type="gramEnd"/>
      <w:r w:rsidRPr="00014B50">
        <w:rPr>
          <w:color w:val="auto"/>
          <w:szCs w:val="24"/>
        </w:rPr>
        <w:t xml:space="preserve"> “Assessing Variability in Northwest Coast Salmon and Herring Fisheries: Bucket-Auger Sampling of Shell Midden Sites on the Central Coast of British Columbia.” </w:t>
      </w:r>
      <w:r w:rsidRPr="00014B50">
        <w:rPr>
          <w:i/>
          <w:iCs/>
          <w:color w:val="auto"/>
          <w:szCs w:val="24"/>
        </w:rPr>
        <w:t xml:space="preserve">Journal of Archaeological Science </w:t>
      </w:r>
      <w:r w:rsidRPr="00014B50">
        <w:rPr>
          <w:color w:val="auto"/>
          <w:szCs w:val="24"/>
        </w:rPr>
        <w:t>27:725-737.</w:t>
      </w:r>
    </w:p>
    <w:p w14:paraId="6759C315" w14:textId="77777777" w:rsidR="00142FB0" w:rsidRPr="00014B50" w:rsidRDefault="00142FB0" w:rsidP="00142FB0">
      <w:pPr>
        <w:ind w:left="284" w:hanging="284"/>
        <w:rPr>
          <w:color w:val="auto"/>
          <w:szCs w:val="24"/>
        </w:rPr>
      </w:pPr>
      <w:r w:rsidRPr="00014B50">
        <w:rPr>
          <w:color w:val="auto"/>
          <w:szCs w:val="24"/>
        </w:rPr>
        <w:t xml:space="preserve">—. 2000b. “Settlement and Sea Levels on the Central Coast of British Columbia: Evidence from Shell Midden Cores.” </w:t>
      </w:r>
      <w:r w:rsidRPr="00014B50">
        <w:rPr>
          <w:i/>
          <w:color w:val="auto"/>
          <w:szCs w:val="24"/>
        </w:rPr>
        <w:t>American Antiquity</w:t>
      </w:r>
      <w:r w:rsidRPr="00014B50">
        <w:rPr>
          <w:color w:val="auto"/>
          <w:szCs w:val="24"/>
        </w:rPr>
        <w:t xml:space="preserve"> 65(1):67-77.</w:t>
      </w:r>
    </w:p>
    <w:p w14:paraId="799DF45C" w14:textId="77777777" w:rsidR="00142FB0" w:rsidRPr="00014B50" w:rsidRDefault="00142FB0" w:rsidP="00142FB0">
      <w:pPr>
        <w:ind w:left="284" w:hanging="284"/>
        <w:rPr>
          <w:color w:val="auto"/>
          <w:szCs w:val="24"/>
        </w:rPr>
      </w:pPr>
      <w:r w:rsidRPr="00014B50">
        <w:rPr>
          <w:color w:val="auto"/>
          <w:szCs w:val="24"/>
        </w:rPr>
        <w:t xml:space="preserve">—. 2002. “Sacred Power and Seasonal Settlement on the Central Northwest Coast.” In </w:t>
      </w:r>
      <w:r w:rsidRPr="00014B50">
        <w:rPr>
          <w:i/>
          <w:color w:val="auto"/>
          <w:szCs w:val="24"/>
        </w:rPr>
        <w:t>Beyond Foraging and Collecting</w:t>
      </w:r>
      <w:r w:rsidRPr="00014B50">
        <w:rPr>
          <w:color w:val="auto"/>
          <w:szCs w:val="24"/>
        </w:rPr>
        <w:t xml:space="preserve">, edited by B. Fitzhugh and J. </w:t>
      </w:r>
      <w:proofErr w:type="spellStart"/>
      <w:r w:rsidRPr="00014B50">
        <w:rPr>
          <w:color w:val="auto"/>
          <w:szCs w:val="24"/>
        </w:rPr>
        <w:t>Habu</w:t>
      </w:r>
      <w:proofErr w:type="spellEnd"/>
      <w:r w:rsidRPr="00014B50">
        <w:rPr>
          <w:color w:val="auto"/>
          <w:szCs w:val="24"/>
        </w:rPr>
        <w:t xml:space="preserve">, pp. 311-338. New York: Kluwer Academic. </w:t>
      </w:r>
    </w:p>
    <w:p w14:paraId="3BB477AA" w14:textId="77777777" w:rsidR="00142FB0" w:rsidRDefault="00142FB0" w:rsidP="00142FB0">
      <w:pPr>
        <w:ind w:left="284" w:hanging="284"/>
        <w:rPr>
          <w:color w:val="auto"/>
          <w:szCs w:val="24"/>
        </w:rPr>
      </w:pPr>
      <w:r w:rsidRPr="00014B50">
        <w:rPr>
          <w:color w:val="auto"/>
          <w:szCs w:val="24"/>
        </w:rPr>
        <w:t>—. 2011. “Cosmology and Everyday Perception in Northwest Coast Production and Reproduction.” In </w:t>
      </w:r>
      <w:r w:rsidRPr="00014B50">
        <w:rPr>
          <w:i/>
          <w:iCs/>
          <w:color w:val="auto"/>
          <w:szCs w:val="24"/>
        </w:rPr>
        <w:t>Structured Worlds: The Archaeology of Hunter</w:t>
      </w:r>
      <w:r w:rsidRPr="00014B50">
        <w:rPr>
          <w:i/>
          <w:iCs/>
          <w:color w:val="auto"/>
          <w:szCs w:val="24"/>
        </w:rPr>
        <w:noBreakHyphen/>
        <w:t>Gatherer Thought and Action</w:t>
      </w:r>
      <w:r w:rsidRPr="00014B50">
        <w:rPr>
          <w:color w:val="auto"/>
          <w:szCs w:val="24"/>
        </w:rPr>
        <w:t>, edited by A. Cannon, pp. 54-68. London: Equinox.</w:t>
      </w:r>
    </w:p>
    <w:p w14:paraId="133DAD35" w14:textId="2302775C" w:rsidR="00C45BF6" w:rsidRDefault="00C45BF6" w:rsidP="00C45BF6">
      <w:pPr>
        <w:ind w:left="284" w:hanging="284"/>
        <w:rPr>
          <w:color w:val="auto"/>
          <w:szCs w:val="24"/>
        </w:rPr>
      </w:pPr>
      <w:proofErr w:type="gramStart"/>
      <w:r w:rsidRPr="00914EBD">
        <w:rPr>
          <w:color w:val="auto"/>
          <w:szCs w:val="24"/>
        </w:rPr>
        <w:t>Carlson, R.J. 2012.</w:t>
      </w:r>
      <w:proofErr w:type="gramEnd"/>
      <w:r w:rsidR="00914EBD" w:rsidRPr="00914EBD">
        <w:rPr>
          <w:color w:val="auto"/>
          <w:szCs w:val="24"/>
        </w:rPr>
        <w:t xml:space="preserve"> “</w:t>
      </w:r>
      <w:r w:rsidRPr="00914EBD">
        <w:rPr>
          <w:color w:val="auto"/>
          <w:szCs w:val="24"/>
        </w:rPr>
        <w:t xml:space="preserve">A Predictive Model for Early Holocene Archaeological Sites in Southeast Alaska Based on Elevated </w:t>
      </w:r>
      <w:proofErr w:type="spellStart"/>
      <w:r w:rsidRPr="00914EBD">
        <w:rPr>
          <w:color w:val="auto"/>
          <w:szCs w:val="24"/>
        </w:rPr>
        <w:t>Palaeobeaches</w:t>
      </w:r>
      <w:proofErr w:type="spellEnd"/>
      <w:r w:rsidRPr="00914EBD">
        <w:rPr>
          <w:color w:val="auto"/>
          <w:szCs w:val="24"/>
        </w:rPr>
        <w:t>.</w:t>
      </w:r>
      <w:r w:rsidR="00914EBD" w:rsidRPr="00914EBD">
        <w:rPr>
          <w:color w:val="auto"/>
          <w:szCs w:val="24"/>
        </w:rPr>
        <w:t>”</w:t>
      </w:r>
      <w:r w:rsidRPr="00914EBD">
        <w:rPr>
          <w:color w:val="auto"/>
          <w:szCs w:val="24"/>
        </w:rPr>
        <w:t xml:space="preserve"> PhD Dissertation. Department of Archaeology, University of Cambridge.</w:t>
      </w:r>
    </w:p>
    <w:p w14:paraId="4FCB051E" w14:textId="30A9C982" w:rsidR="00C45BF6" w:rsidRDefault="00C45BF6" w:rsidP="00C45BF6">
      <w:pPr>
        <w:ind w:left="284" w:hanging="284"/>
        <w:rPr>
          <w:color w:val="auto"/>
          <w:szCs w:val="24"/>
          <w:lang w:val="en-CA"/>
        </w:rPr>
      </w:pPr>
      <w:r>
        <w:rPr>
          <w:color w:val="auto"/>
          <w:szCs w:val="24"/>
        </w:rPr>
        <w:t xml:space="preserve">Carlson, R.J. and J.F. </w:t>
      </w:r>
      <w:proofErr w:type="spellStart"/>
      <w:r>
        <w:rPr>
          <w:color w:val="auto"/>
          <w:szCs w:val="24"/>
        </w:rPr>
        <w:t>Baichtal</w:t>
      </w:r>
      <w:proofErr w:type="spellEnd"/>
      <w:r>
        <w:rPr>
          <w:color w:val="auto"/>
          <w:szCs w:val="24"/>
        </w:rPr>
        <w:t>. 2015. “</w:t>
      </w:r>
      <w:r w:rsidRPr="00914EBD">
        <w:rPr>
          <w:color w:val="auto"/>
          <w:szCs w:val="24"/>
          <w:lang w:val="en-CA"/>
        </w:rPr>
        <w:t>A Predictive Model for Locating Early Holocene Archaeological Sites Based on Raised Shell-Bearing Strata in Southeast Alaska, USA.</w:t>
      </w:r>
      <w:r>
        <w:rPr>
          <w:color w:val="auto"/>
          <w:szCs w:val="24"/>
          <w:lang w:val="en-CA"/>
        </w:rPr>
        <w:t>”</w:t>
      </w:r>
      <w:r w:rsidRPr="00914EBD">
        <w:rPr>
          <w:color w:val="auto"/>
          <w:szCs w:val="24"/>
          <w:lang w:val="en-CA"/>
        </w:rPr>
        <w:t xml:space="preserve"> </w:t>
      </w:r>
      <w:proofErr w:type="spellStart"/>
      <w:r w:rsidRPr="00914EBD">
        <w:rPr>
          <w:i/>
          <w:color w:val="auto"/>
          <w:szCs w:val="24"/>
          <w:lang w:val="en-CA"/>
        </w:rPr>
        <w:t>Geoarchaeology</w:t>
      </w:r>
      <w:proofErr w:type="spellEnd"/>
      <w:r w:rsidRPr="00914EBD">
        <w:rPr>
          <w:i/>
          <w:color w:val="auto"/>
          <w:szCs w:val="24"/>
          <w:lang w:val="en-CA"/>
        </w:rPr>
        <w:t xml:space="preserve"> </w:t>
      </w:r>
      <w:r w:rsidRPr="00914EBD">
        <w:rPr>
          <w:color w:val="auto"/>
          <w:szCs w:val="24"/>
          <w:lang w:val="en-CA"/>
        </w:rPr>
        <w:t>30:120-138.</w:t>
      </w:r>
    </w:p>
    <w:p w14:paraId="1FA99C24" w14:textId="45D3CB01" w:rsidR="001220AC" w:rsidRPr="00625044" w:rsidRDefault="001220AC" w:rsidP="00C45BF6">
      <w:pPr>
        <w:ind w:left="284" w:hanging="284"/>
        <w:rPr>
          <w:color w:val="auto"/>
          <w:szCs w:val="24"/>
        </w:rPr>
      </w:pPr>
      <w:proofErr w:type="spellStart"/>
      <w:r>
        <w:rPr>
          <w:color w:val="auto"/>
          <w:szCs w:val="24"/>
          <w:lang w:val="en-CA"/>
        </w:rPr>
        <w:t>Carrara</w:t>
      </w:r>
      <w:proofErr w:type="spellEnd"/>
      <w:r>
        <w:rPr>
          <w:color w:val="auto"/>
          <w:szCs w:val="24"/>
          <w:lang w:val="en-CA"/>
        </w:rPr>
        <w:t xml:space="preserve">, P.E., T.A. Ager, and J.F. </w:t>
      </w:r>
      <w:proofErr w:type="spellStart"/>
      <w:r>
        <w:rPr>
          <w:color w:val="auto"/>
          <w:szCs w:val="24"/>
          <w:lang w:val="en-CA"/>
        </w:rPr>
        <w:t>Baichtal</w:t>
      </w:r>
      <w:proofErr w:type="spellEnd"/>
      <w:r>
        <w:rPr>
          <w:color w:val="auto"/>
          <w:szCs w:val="24"/>
          <w:lang w:val="en-CA"/>
        </w:rPr>
        <w:t>. 2007. “Possible Refugia in the Alexander Arch</w:t>
      </w:r>
      <w:r w:rsidR="00625044">
        <w:rPr>
          <w:color w:val="auto"/>
          <w:szCs w:val="24"/>
          <w:lang w:val="en-CA"/>
        </w:rPr>
        <w:t>ipelago of Southeastern Alaska d</w:t>
      </w:r>
      <w:r>
        <w:rPr>
          <w:color w:val="auto"/>
          <w:szCs w:val="24"/>
          <w:lang w:val="en-CA"/>
        </w:rPr>
        <w:t xml:space="preserve">uring the Late Wisconsin Glaciation.” </w:t>
      </w:r>
      <w:r w:rsidR="00625044">
        <w:rPr>
          <w:i/>
          <w:color w:val="auto"/>
          <w:szCs w:val="24"/>
          <w:lang w:val="en-CA"/>
        </w:rPr>
        <w:t>Canadian Jou</w:t>
      </w:r>
      <w:r w:rsidR="00191D60">
        <w:rPr>
          <w:i/>
          <w:color w:val="auto"/>
          <w:szCs w:val="24"/>
          <w:lang w:val="en-CA"/>
        </w:rPr>
        <w:t>r</w:t>
      </w:r>
      <w:r w:rsidR="00625044">
        <w:rPr>
          <w:i/>
          <w:color w:val="auto"/>
          <w:szCs w:val="24"/>
          <w:lang w:val="en-CA"/>
        </w:rPr>
        <w:t xml:space="preserve">nal of Earth Science </w:t>
      </w:r>
      <w:r w:rsidR="00625044">
        <w:rPr>
          <w:color w:val="auto"/>
          <w:szCs w:val="24"/>
          <w:lang w:val="en-CA"/>
        </w:rPr>
        <w:t>44:229-244.</w:t>
      </w:r>
    </w:p>
    <w:p w14:paraId="155F938C" w14:textId="77777777" w:rsidR="00142FB0" w:rsidRDefault="00142FB0" w:rsidP="00142FB0">
      <w:pPr>
        <w:ind w:left="284" w:hanging="284"/>
        <w:rPr>
          <w:color w:val="auto"/>
          <w:szCs w:val="24"/>
        </w:rPr>
      </w:pPr>
      <w:proofErr w:type="spellStart"/>
      <w:r w:rsidRPr="00014B50">
        <w:rPr>
          <w:color w:val="auto"/>
          <w:szCs w:val="24"/>
        </w:rPr>
        <w:t>Claassen</w:t>
      </w:r>
      <w:proofErr w:type="spellEnd"/>
      <w:r w:rsidRPr="00014B50">
        <w:rPr>
          <w:color w:val="auto"/>
          <w:szCs w:val="24"/>
        </w:rPr>
        <w:t xml:space="preserve">, C. 1991. “Normative Thinking and Shell-Bearing Sites.” </w:t>
      </w:r>
      <w:r w:rsidRPr="00014B50">
        <w:rPr>
          <w:i/>
          <w:iCs/>
          <w:color w:val="auto"/>
          <w:szCs w:val="24"/>
        </w:rPr>
        <w:t>Archaeological Method and Theory</w:t>
      </w:r>
      <w:r w:rsidRPr="00014B50">
        <w:rPr>
          <w:color w:val="auto"/>
          <w:szCs w:val="24"/>
        </w:rPr>
        <w:t xml:space="preserve"> 3:249-298.</w:t>
      </w:r>
    </w:p>
    <w:p w14:paraId="79380AE6" w14:textId="3FB6D487" w:rsidR="00C45BF6" w:rsidRPr="00914EBD" w:rsidRDefault="00C45BF6" w:rsidP="007C65B3">
      <w:pPr>
        <w:ind w:left="284" w:hanging="284"/>
        <w:rPr>
          <w:color w:val="auto"/>
          <w:szCs w:val="24"/>
          <w:lang w:val="en-CA"/>
        </w:rPr>
      </w:pPr>
      <w:proofErr w:type="spellStart"/>
      <w:r w:rsidRPr="00C45BF6">
        <w:rPr>
          <w:color w:val="auto"/>
          <w:szCs w:val="24"/>
          <w:lang w:val="en-CA"/>
        </w:rPr>
        <w:t>Clague</w:t>
      </w:r>
      <w:proofErr w:type="spellEnd"/>
      <w:r w:rsidRPr="00C45BF6">
        <w:rPr>
          <w:color w:val="auto"/>
          <w:szCs w:val="24"/>
          <w:lang w:val="en-CA"/>
        </w:rPr>
        <w:t>, J</w:t>
      </w:r>
      <w:r>
        <w:rPr>
          <w:color w:val="auto"/>
          <w:szCs w:val="24"/>
          <w:lang w:val="en-CA"/>
        </w:rPr>
        <w:t>.</w:t>
      </w:r>
      <w:r w:rsidRPr="00914EBD">
        <w:rPr>
          <w:color w:val="auto"/>
          <w:szCs w:val="24"/>
          <w:lang w:val="en-CA"/>
        </w:rPr>
        <w:t xml:space="preserve">J., </w:t>
      </w:r>
      <w:r>
        <w:rPr>
          <w:color w:val="auto"/>
          <w:szCs w:val="24"/>
          <w:lang w:val="en-CA"/>
        </w:rPr>
        <w:t>J.</w:t>
      </w:r>
      <w:r w:rsidRPr="00914EBD">
        <w:rPr>
          <w:color w:val="auto"/>
          <w:szCs w:val="24"/>
          <w:lang w:val="en-CA"/>
        </w:rPr>
        <w:t xml:space="preserve">R. Harper, </w:t>
      </w:r>
      <w:r>
        <w:rPr>
          <w:color w:val="auto"/>
          <w:szCs w:val="24"/>
          <w:lang w:val="en-CA"/>
        </w:rPr>
        <w:t>R.</w:t>
      </w:r>
      <w:r w:rsidRPr="00914EBD">
        <w:rPr>
          <w:color w:val="auto"/>
          <w:szCs w:val="24"/>
          <w:lang w:val="en-CA"/>
        </w:rPr>
        <w:t xml:space="preserve">J. </w:t>
      </w:r>
      <w:proofErr w:type="spellStart"/>
      <w:r w:rsidRPr="00914EBD">
        <w:rPr>
          <w:color w:val="auto"/>
          <w:szCs w:val="24"/>
          <w:lang w:val="en-CA"/>
        </w:rPr>
        <w:t>Hebda</w:t>
      </w:r>
      <w:proofErr w:type="spellEnd"/>
      <w:r w:rsidRPr="00914EBD">
        <w:rPr>
          <w:color w:val="auto"/>
          <w:szCs w:val="24"/>
          <w:lang w:val="en-CA"/>
        </w:rPr>
        <w:t xml:space="preserve">, and D.E. </w:t>
      </w:r>
      <w:proofErr w:type="spellStart"/>
      <w:r w:rsidRPr="00914EBD">
        <w:rPr>
          <w:color w:val="auto"/>
          <w:szCs w:val="24"/>
          <w:lang w:val="en-CA"/>
        </w:rPr>
        <w:t>Howes</w:t>
      </w:r>
      <w:proofErr w:type="spellEnd"/>
      <w:r>
        <w:rPr>
          <w:color w:val="auto"/>
          <w:szCs w:val="24"/>
          <w:lang w:val="en-CA"/>
        </w:rPr>
        <w:t xml:space="preserve">. </w:t>
      </w:r>
      <w:r w:rsidRPr="00914EBD">
        <w:rPr>
          <w:color w:val="auto"/>
          <w:szCs w:val="24"/>
          <w:lang w:val="en-CA"/>
        </w:rPr>
        <w:t>1982</w:t>
      </w:r>
      <w:r>
        <w:rPr>
          <w:color w:val="auto"/>
          <w:szCs w:val="24"/>
          <w:lang w:val="en-CA"/>
        </w:rPr>
        <w:t>. “</w:t>
      </w:r>
      <w:r w:rsidRPr="00914EBD">
        <w:rPr>
          <w:bCs/>
          <w:color w:val="auto"/>
          <w:szCs w:val="24"/>
          <w:lang w:val="en-CA"/>
        </w:rPr>
        <w:t>Late Quaternary Sea Levels and Crustal Movements, Coastal British Columbia.</w:t>
      </w:r>
      <w:r>
        <w:rPr>
          <w:bCs/>
          <w:color w:val="auto"/>
          <w:szCs w:val="24"/>
          <w:lang w:val="en-CA"/>
        </w:rPr>
        <w:t>”</w:t>
      </w:r>
      <w:r w:rsidRPr="00914EBD">
        <w:rPr>
          <w:bCs/>
          <w:color w:val="auto"/>
          <w:szCs w:val="24"/>
          <w:lang w:val="en-CA"/>
        </w:rPr>
        <w:t xml:space="preserve"> </w:t>
      </w:r>
      <w:r w:rsidRPr="00914EBD">
        <w:rPr>
          <w:bCs/>
          <w:i/>
          <w:color w:val="auto"/>
          <w:szCs w:val="24"/>
          <w:lang w:val="en-CA"/>
        </w:rPr>
        <w:t xml:space="preserve">Canadian Journal of Earth Science </w:t>
      </w:r>
      <w:r w:rsidRPr="00914EBD">
        <w:rPr>
          <w:bCs/>
          <w:color w:val="auto"/>
          <w:szCs w:val="24"/>
          <w:lang w:val="en-CA"/>
        </w:rPr>
        <w:t>19:597-618.</w:t>
      </w:r>
    </w:p>
    <w:p w14:paraId="7970C4C9" w14:textId="77777777" w:rsidR="00142FB0" w:rsidRPr="00014B50" w:rsidRDefault="00142FB0" w:rsidP="00142FB0">
      <w:pPr>
        <w:ind w:left="284" w:hanging="284"/>
        <w:rPr>
          <w:color w:val="auto"/>
          <w:szCs w:val="24"/>
        </w:rPr>
      </w:pPr>
      <w:proofErr w:type="gramStart"/>
      <w:r w:rsidRPr="00014B50">
        <w:rPr>
          <w:color w:val="auto"/>
          <w:szCs w:val="24"/>
        </w:rPr>
        <w:t xml:space="preserve">Collard, M., K. </w:t>
      </w:r>
      <w:proofErr w:type="spellStart"/>
      <w:r w:rsidRPr="00014B50">
        <w:rPr>
          <w:color w:val="auto"/>
          <w:szCs w:val="24"/>
        </w:rPr>
        <w:t>Edinborough</w:t>
      </w:r>
      <w:proofErr w:type="spellEnd"/>
      <w:r w:rsidRPr="00014B50">
        <w:rPr>
          <w:color w:val="auto"/>
          <w:szCs w:val="24"/>
        </w:rPr>
        <w:t xml:space="preserve">, S. </w:t>
      </w:r>
      <w:proofErr w:type="spellStart"/>
      <w:r w:rsidRPr="00014B50">
        <w:rPr>
          <w:color w:val="auto"/>
          <w:szCs w:val="24"/>
        </w:rPr>
        <w:t>Shennan</w:t>
      </w:r>
      <w:proofErr w:type="spellEnd"/>
      <w:r w:rsidRPr="00014B50">
        <w:rPr>
          <w:color w:val="auto"/>
          <w:szCs w:val="24"/>
        </w:rPr>
        <w:t xml:space="preserve"> and M.G. Thomas.</w:t>
      </w:r>
      <w:proofErr w:type="gramEnd"/>
      <w:r w:rsidRPr="00014B50">
        <w:rPr>
          <w:color w:val="auto"/>
          <w:szCs w:val="24"/>
        </w:rPr>
        <w:t xml:space="preserve"> 2010. “Radiocarbon Evidence Indicates that Migrants Introduced Farming to Britain.” </w:t>
      </w:r>
      <w:r w:rsidRPr="00014B50">
        <w:rPr>
          <w:i/>
          <w:iCs/>
          <w:color w:val="auto"/>
          <w:szCs w:val="24"/>
        </w:rPr>
        <w:t>Journal of Archaeological Science</w:t>
      </w:r>
      <w:r w:rsidRPr="00014B50">
        <w:rPr>
          <w:color w:val="auto"/>
          <w:szCs w:val="24"/>
        </w:rPr>
        <w:t xml:space="preserve"> 37(4):866-870.</w:t>
      </w:r>
    </w:p>
    <w:p w14:paraId="763A39F8" w14:textId="70119FDF" w:rsidR="00142FB0" w:rsidRPr="00014B50" w:rsidRDefault="00142FB0" w:rsidP="00142FB0">
      <w:pPr>
        <w:ind w:left="284" w:hanging="284"/>
        <w:rPr>
          <w:color w:val="auto"/>
          <w:szCs w:val="24"/>
        </w:rPr>
      </w:pPr>
      <w:r w:rsidRPr="00014B50">
        <w:rPr>
          <w:color w:val="auto"/>
          <w:szCs w:val="24"/>
        </w:rPr>
        <w:lastRenderedPageBreak/>
        <w:t xml:space="preserve">Coupland, G. 1988. </w:t>
      </w:r>
      <w:r w:rsidR="00C45BF6">
        <w:rPr>
          <w:color w:val="auto"/>
          <w:szCs w:val="24"/>
        </w:rPr>
        <w:t>“</w:t>
      </w:r>
      <w:r w:rsidRPr="00014B50">
        <w:rPr>
          <w:color w:val="auto"/>
          <w:szCs w:val="24"/>
        </w:rPr>
        <w:t>Prehistoric Economic and Social Change in the Tsimshian Area.</w:t>
      </w:r>
      <w:r w:rsidR="00C45BF6">
        <w:rPr>
          <w:color w:val="auto"/>
          <w:szCs w:val="24"/>
        </w:rPr>
        <w:t>”</w:t>
      </w:r>
      <w:r w:rsidRPr="00014B50">
        <w:rPr>
          <w:color w:val="auto"/>
          <w:szCs w:val="24"/>
        </w:rPr>
        <w:t xml:space="preserve"> </w:t>
      </w:r>
      <w:r w:rsidRPr="00014B50">
        <w:rPr>
          <w:i/>
          <w:iCs/>
          <w:color w:val="auto"/>
          <w:szCs w:val="24"/>
        </w:rPr>
        <w:t xml:space="preserve">Research in Economic Anthropology </w:t>
      </w:r>
      <w:r w:rsidRPr="00014B50">
        <w:rPr>
          <w:color w:val="auto"/>
          <w:szCs w:val="24"/>
        </w:rPr>
        <w:t>3:211–245.</w:t>
      </w:r>
    </w:p>
    <w:p w14:paraId="32CECF1D" w14:textId="77777777" w:rsidR="00142FB0" w:rsidRPr="00014B50" w:rsidRDefault="00142FB0" w:rsidP="00142FB0">
      <w:pPr>
        <w:ind w:left="284" w:hanging="284"/>
        <w:rPr>
          <w:color w:val="auto"/>
          <w:szCs w:val="24"/>
        </w:rPr>
      </w:pPr>
      <w:r w:rsidRPr="00014B50">
        <w:rPr>
          <w:color w:val="auto"/>
          <w:szCs w:val="24"/>
        </w:rPr>
        <w:t xml:space="preserve">—. 2006. “A Chief’s House Speaks: Communicating Power on the Northern Northwest Coast.” In </w:t>
      </w:r>
      <w:r w:rsidRPr="00014B50">
        <w:rPr>
          <w:i/>
          <w:color w:val="auto"/>
          <w:szCs w:val="24"/>
        </w:rPr>
        <w:t>Household Archaeology on the Northwest Coast</w:t>
      </w:r>
      <w:r w:rsidRPr="00014B50">
        <w:rPr>
          <w:color w:val="auto"/>
          <w:szCs w:val="24"/>
        </w:rPr>
        <w:t xml:space="preserve">, edited by E. </w:t>
      </w:r>
      <w:proofErr w:type="spellStart"/>
      <w:r w:rsidRPr="00014B50">
        <w:rPr>
          <w:color w:val="auto"/>
          <w:szCs w:val="24"/>
        </w:rPr>
        <w:t>Soepel</w:t>
      </w:r>
      <w:proofErr w:type="spellEnd"/>
      <w:r w:rsidRPr="00014B50">
        <w:rPr>
          <w:color w:val="auto"/>
          <w:szCs w:val="24"/>
        </w:rPr>
        <w:t xml:space="preserve">, D.A. Trieu </w:t>
      </w:r>
      <w:proofErr w:type="spellStart"/>
      <w:r w:rsidRPr="00014B50">
        <w:rPr>
          <w:color w:val="auto"/>
          <w:szCs w:val="24"/>
        </w:rPr>
        <w:t>Gahr</w:t>
      </w:r>
      <w:proofErr w:type="spellEnd"/>
      <w:r w:rsidRPr="00014B50">
        <w:rPr>
          <w:color w:val="auto"/>
          <w:szCs w:val="24"/>
        </w:rPr>
        <w:t>, and K.M. Ames, pp. 80-96. Ann Arbor</w:t>
      </w:r>
      <w:r w:rsidRPr="00014B50">
        <w:rPr>
          <w:i/>
          <w:color w:val="auto"/>
          <w:szCs w:val="24"/>
        </w:rPr>
        <w:t>:</w:t>
      </w:r>
      <w:r w:rsidRPr="00014B50">
        <w:rPr>
          <w:color w:val="auto"/>
          <w:szCs w:val="24"/>
        </w:rPr>
        <w:t xml:space="preserve"> International Monographs in Prehistory, Archaeological Series 16.</w:t>
      </w:r>
    </w:p>
    <w:p w14:paraId="42EC544A" w14:textId="77777777" w:rsidR="00142FB0" w:rsidRPr="00014B50" w:rsidRDefault="00142FB0" w:rsidP="00142FB0">
      <w:pPr>
        <w:ind w:left="284" w:hanging="284"/>
        <w:rPr>
          <w:color w:val="auto"/>
          <w:szCs w:val="24"/>
        </w:rPr>
      </w:pPr>
      <w:proofErr w:type="gramStart"/>
      <w:r w:rsidRPr="00014B50">
        <w:rPr>
          <w:color w:val="auto"/>
          <w:szCs w:val="24"/>
        </w:rPr>
        <w:t>Coupland, G., C. Bissell, and S. King.</w:t>
      </w:r>
      <w:proofErr w:type="gramEnd"/>
      <w:r w:rsidRPr="00014B50">
        <w:rPr>
          <w:color w:val="auto"/>
          <w:szCs w:val="24"/>
        </w:rPr>
        <w:t xml:space="preserve"> 1993.</w:t>
      </w:r>
      <w:r w:rsidRPr="00014B50">
        <w:rPr>
          <w:color w:val="auto"/>
          <w:szCs w:val="24"/>
        </w:rPr>
        <w:tab/>
        <w:t xml:space="preserve">“Prehistoric Subsistence and Seasonality at Prince Rupert Harbour: Evidence from the McNichol Creek Site.” </w:t>
      </w:r>
      <w:r w:rsidRPr="00014B50">
        <w:rPr>
          <w:i/>
          <w:iCs/>
          <w:color w:val="auto"/>
          <w:szCs w:val="24"/>
        </w:rPr>
        <w:t>Canadian Journal of Archaeology</w:t>
      </w:r>
      <w:r w:rsidRPr="00014B50">
        <w:rPr>
          <w:color w:val="auto"/>
          <w:szCs w:val="24"/>
        </w:rPr>
        <w:t xml:space="preserve"> 17: 59–73.</w:t>
      </w:r>
    </w:p>
    <w:p w14:paraId="7F6A8308" w14:textId="77777777" w:rsidR="00142FB0" w:rsidRDefault="00142FB0" w:rsidP="00142FB0">
      <w:pPr>
        <w:ind w:left="284" w:hanging="284"/>
        <w:rPr>
          <w:color w:val="auto"/>
          <w:szCs w:val="24"/>
        </w:rPr>
      </w:pPr>
      <w:r w:rsidRPr="00014B50">
        <w:rPr>
          <w:color w:val="auto"/>
          <w:szCs w:val="24"/>
        </w:rPr>
        <w:t xml:space="preserve">Coupland, G., R.H. Colten, and R. Case. 2003. “Preliminary Analysis of Socioeconomic Organization at the McNichol Creek Site, British Columbia.” In </w:t>
      </w:r>
      <w:r w:rsidRPr="00014B50">
        <w:rPr>
          <w:i/>
          <w:iCs/>
          <w:color w:val="auto"/>
          <w:szCs w:val="24"/>
        </w:rPr>
        <w:t>Emerging from the Mist: Studies in Northwest Coast Culture History</w:t>
      </w:r>
      <w:r w:rsidRPr="00014B50">
        <w:rPr>
          <w:color w:val="auto"/>
          <w:szCs w:val="24"/>
        </w:rPr>
        <w:t xml:space="preserve">, edited by R.G. Matson, G. Coupland, and Q. Mackie, pp. 152–169. Vancouver: UBC Press. </w:t>
      </w:r>
    </w:p>
    <w:p w14:paraId="3431B62E" w14:textId="77777777" w:rsidR="0076046A" w:rsidRPr="00014B50" w:rsidRDefault="0076046A" w:rsidP="0076046A">
      <w:pPr>
        <w:ind w:left="284" w:hanging="284"/>
        <w:rPr>
          <w:color w:val="auto"/>
          <w:szCs w:val="24"/>
        </w:rPr>
      </w:pPr>
      <w:r w:rsidRPr="0076046A">
        <w:rPr>
          <w:color w:val="auto"/>
          <w:szCs w:val="24"/>
        </w:rPr>
        <w:t xml:space="preserve">Coupland, </w:t>
      </w:r>
      <w:r>
        <w:rPr>
          <w:color w:val="auto"/>
          <w:szCs w:val="24"/>
        </w:rPr>
        <w:t>G.</w:t>
      </w:r>
      <w:r w:rsidRPr="0076046A">
        <w:rPr>
          <w:color w:val="auto"/>
          <w:szCs w:val="24"/>
        </w:rPr>
        <w:t xml:space="preserve">, </w:t>
      </w:r>
      <w:r>
        <w:rPr>
          <w:color w:val="auto"/>
          <w:szCs w:val="24"/>
        </w:rPr>
        <w:t>K.</w:t>
      </w:r>
      <w:r w:rsidRPr="0076046A">
        <w:rPr>
          <w:color w:val="auto"/>
          <w:szCs w:val="24"/>
        </w:rPr>
        <w:t xml:space="preserve"> Stewart, and </w:t>
      </w:r>
      <w:r>
        <w:rPr>
          <w:color w:val="auto"/>
          <w:szCs w:val="24"/>
        </w:rPr>
        <w:t>K.A.</w:t>
      </w:r>
      <w:r w:rsidRPr="0076046A">
        <w:rPr>
          <w:color w:val="auto"/>
          <w:szCs w:val="24"/>
        </w:rPr>
        <w:t xml:space="preserve"> Patton</w:t>
      </w:r>
      <w:r>
        <w:rPr>
          <w:color w:val="auto"/>
          <w:szCs w:val="24"/>
        </w:rPr>
        <w:t xml:space="preserve">. </w:t>
      </w:r>
      <w:r w:rsidRPr="0076046A">
        <w:rPr>
          <w:color w:val="auto"/>
          <w:szCs w:val="24"/>
        </w:rPr>
        <w:t>2010</w:t>
      </w:r>
      <w:r>
        <w:rPr>
          <w:color w:val="auto"/>
          <w:szCs w:val="24"/>
        </w:rPr>
        <w:t>. “</w:t>
      </w:r>
      <w:r w:rsidRPr="0076046A">
        <w:rPr>
          <w:color w:val="auto"/>
          <w:szCs w:val="24"/>
        </w:rPr>
        <w:t>Do you never get tired of salmon? Evidence for extreme salmon specialization at Prince Rupert harbour, British Columbia.</w:t>
      </w:r>
      <w:r>
        <w:rPr>
          <w:color w:val="auto"/>
          <w:szCs w:val="24"/>
        </w:rPr>
        <w:t>”</w:t>
      </w:r>
      <w:r w:rsidRPr="0076046A">
        <w:rPr>
          <w:color w:val="auto"/>
          <w:szCs w:val="24"/>
        </w:rPr>
        <w:t xml:space="preserve"> </w:t>
      </w:r>
      <w:r w:rsidRPr="0076046A">
        <w:rPr>
          <w:i/>
          <w:color w:val="auto"/>
          <w:szCs w:val="24"/>
        </w:rPr>
        <w:t>Journal of Anthropological Archaeology</w:t>
      </w:r>
      <w:r w:rsidRPr="0076046A">
        <w:rPr>
          <w:color w:val="auto"/>
          <w:szCs w:val="24"/>
        </w:rPr>
        <w:t xml:space="preserve"> 29(2): 189-207.</w:t>
      </w:r>
    </w:p>
    <w:p w14:paraId="7226C851" w14:textId="77777777" w:rsidR="00142FB0" w:rsidRDefault="00142FB0" w:rsidP="00142FB0">
      <w:pPr>
        <w:ind w:left="284" w:hanging="284"/>
        <w:rPr>
          <w:color w:val="auto"/>
          <w:szCs w:val="24"/>
        </w:rPr>
      </w:pPr>
      <w:r w:rsidRPr="00014B50">
        <w:rPr>
          <w:color w:val="auto"/>
          <w:szCs w:val="24"/>
        </w:rPr>
        <w:t xml:space="preserve">Cui, Y., J. </w:t>
      </w:r>
      <w:proofErr w:type="spellStart"/>
      <w:r w:rsidRPr="00014B50">
        <w:rPr>
          <w:color w:val="auto"/>
          <w:szCs w:val="24"/>
        </w:rPr>
        <w:t>Lindo</w:t>
      </w:r>
      <w:proofErr w:type="spellEnd"/>
      <w:r w:rsidRPr="00014B50">
        <w:rPr>
          <w:color w:val="auto"/>
          <w:szCs w:val="24"/>
        </w:rPr>
        <w:t xml:space="preserve">, C.E. Hughes, J.W. Johnson, A.G. Hernandez, B.M. Kemp, J. Ma, R. Cunningham, B. </w:t>
      </w:r>
      <w:proofErr w:type="spellStart"/>
      <w:r w:rsidRPr="00014B50">
        <w:rPr>
          <w:color w:val="auto"/>
          <w:szCs w:val="24"/>
        </w:rPr>
        <w:t>Petzelt</w:t>
      </w:r>
      <w:proofErr w:type="spellEnd"/>
      <w:r w:rsidRPr="00014B50">
        <w:rPr>
          <w:color w:val="auto"/>
          <w:szCs w:val="24"/>
        </w:rPr>
        <w:t xml:space="preserve">, J. Mitchell, D. Archer, J.S. </w:t>
      </w:r>
      <w:proofErr w:type="spellStart"/>
      <w:r w:rsidRPr="00014B50">
        <w:rPr>
          <w:color w:val="auto"/>
          <w:szCs w:val="24"/>
        </w:rPr>
        <w:t>Cybulski</w:t>
      </w:r>
      <w:proofErr w:type="spellEnd"/>
      <w:r w:rsidRPr="00014B50">
        <w:rPr>
          <w:color w:val="auto"/>
          <w:szCs w:val="24"/>
        </w:rPr>
        <w:t xml:space="preserve">, R.S. </w:t>
      </w:r>
      <w:proofErr w:type="spellStart"/>
      <w:r w:rsidRPr="00014B50">
        <w:rPr>
          <w:color w:val="auto"/>
          <w:szCs w:val="24"/>
        </w:rPr>
        <w:t>Malhi</w:t>
      </w:r>
      <w:proofErr w:type="spellEnd"/>
      <w:r w:rsidRPr="00014B50">
        <w:rPr>
          <w:color w:val="auto"/>
          <w:szCs w:val="24"/>
        </w:rPr>
        <w:t>. 2013. “</w:t>
      </w:r>
      <w:r w:rsidRPr="00014B50">
        <w:rPr>
          <w:rFonts w:eastAsiaTheme="minorHAnsi"/>
          <w:color w:val="auto"/>
          <w:szCs w:val="24"/>
        </w:rPr>
        <w:t xml:space="preserve">Ancient DNA Analysis of Mid-Holocene Individuals from the Northwest Coast of North America Reveals Different Evolutionary Paths for </w:t>
      </w:r>
      <w:proofErr w:type="spellStart"/>
      <w:r w:rsidRPr="00014B50">
        <w:rPr>
          <w:rFonts w:eastAsiaTheme="minorHAnsi"/>
          <w:color w:val="auto"/>
          <w:szCs w:val="24"/>
        </w:rPr>
        <w:t>Mitogenomes</w:t>
      </w:r>
      <w:proofErr w:type="spellEnd"/>
      <w:r w:rsidRPr="00014B50">
        <w:rPr>
          <w:color w:val="auto"/>
          <w:szCs w:val="24"/>
        </w:rPr>
        <w:t xml:space="preserve">.” </w:t>
      </w:r>
      <w:proofErr w:type="spellStart"/>
      <w:r w:rsidRPr="00014B50">
        <w:rPr>
          <w:i/>
          <w:color w:val="auto"/>
          <w:szCs w:val="24"/>
        </w:rPr>
        <w:t>PLoS</w:t>
      </w:r>
      <w:proofErr w:type="spellEnd"/>
      <w:r w:rsidRPr="00014B50">
        <w:rPr>
          <w:i/>
          <w:color w:val="auto"/>
          <w:szCs w:val="24"/>
        </w:rPr>
        <w:t xml:space="preserve"> ONE</w:t>
      </w:r>
      <w:r w:rsidRPr="00014B50">
        <w:rPr>
          <w:color w:val="auto"/>
          <w:szCs w:val="24"/>
        </w:rPr>
        <w:t xml:space="preserve"> 8(7): e66948. </w:t>
      </w:r>
    </w:p>
    <w:p w14:paraId="64040D6B" w14:textId="454D7ABB" w:rsidR="007C65B3" w:rsidRDefault="007C65B3" w:rsidP="007C65B3">
      <w:pPr>
        <w:ind w:left="284" w:hanging="284"/>
        <w:rPr>
          <w:rFonts w:eastAsiaTheme="minorHAnsi"/>
          <w:color w:val="auto"/>
          <w:szCs w:val="24"/>
          <w:lang w:val="en-CA"/>
        </w:rPr>
      </w:pPr>
      <w:r w:rsidRPr="007C65B3">
        <w:rPr>
          <w:rFonts w:eastAsiaTheme="minorHAnsi"/>
          <w:color w:val="auto"/>
          <w:szCs w:val="24"/>
          <w:lang w:val="en-CA"/>
        </w:rPr>
        <w:t xml:space="preserve">Davis, S.D. 1989. </w:t>
      </w:r>
      <w:proofErr w:type="gramStart"/>
      <w:r w:rsidRPr="007C65B3">
        <w:rPr>
          <w:rFonts w:eastAsiaTheme="minorHAnsi"/>
          <w:i/>
          <w:iCs/>
          <w:color w:val="auto"/>
          <w:szCs w:val="24"/>
          <w:lang w:val="en-CA"/>
        </w:rPr>
        <w:t>The Hidden Falls Site, Baranof Island, Alaska</w:t>
      </w:r>
      <w:r w:rsidRPr="007C65B3">
        <w:rPr>
          <w:rFonts w:eastAsiaTheme="minorHAnsi"/>
          <w:color w:val="auto"/>
          <w:szCs w:val="24"/>
          <w:lang w:val="en-CA"/>
        </w:rPr>
        <w:t>.</w:t>
      </w:r>
      <w:proofErr w:type="gramEnd"/>
      <w:r w:rsidRPr="007C65B3">
        <w:rPr>
          <w:rFonts w:eastAsiaTheme="minorHAnsi"/>
          <w:color w:val="auto"/>
          <w:szCs w:val="24"/>
          <w:lang w:val="en-CA"/>
        </w:rPr>
        <w:t xml:space="preserve"> </w:t>
      </w:r>
      <w:proofErr w:type="gramStart"/>
      <w:r w:rsidRPr="007C65B3">
        <w:rPr>
          <w:rFonts w:eastAsiaTheme="minorHAnsi"/>
          <w:color w:val="auto"/>
          <w:szCs w:val="24"/>
          <w:lang w:val="en-CA"/>
        </w:rPr>
        <w:t>Aurora Monograph Series.</w:t>
      </w:r>
      <w:proofErr w:type="gramEnd"/>
      <w:r>
        <w:rPr>
          <w:rFonts w:eastAsiaTheme="minorHAnsi"/>
          <w:color w:val="auto"/>
          <w:szCs w:val="24"/>
          <w:lang w:val="en-CA"/>
        </w:rPr>
        <w:t xml:space="preserve"> </w:t>
      </w:r>
      <w:r w:rsidRPr="007C65B3">
        <w:rPr>
          <w:rFonts w:eastAsiaTheme="minorHAnsi"/>
          <w:color w:val="auto"/>
          <w:szCs w:val="24"/>
          <w:lang w:val="en-CA"/>
        </w:rPr>
        <w:t>Fairbanks: Alaska Anthropological Association.</w:t>
      </w:r>
    </w:p>
    <w:p w14:paraId="486A2316" w14:textId="6C83BD94" w:rsidR="007C65B3" w:rsidRDefault="007C65B3" w:rsidP="007C65B3">
      <w:pPr>
        <w:ind w:left="284" w:hanging="284"/>
        <w:rPr>
          <w:rFonts w:eastAsiaTheme="minorHAnsi"/>
          <w:color w:val="auto"/>
          <w:szCs w:val="24"/>
          <w:lang w:val="en-CA"/>
        </w:rPr>
      </w:pPr>
      <w:r w:rsidRPr="007C65B3">
        <w:rPr>
          <w:rFonts w:eastAsiaTheme="minorHAnsi"/>
          <w:color w:val="auto"/>
          <w:szCs w:val="24"/>
          <w:lang w:val="en-CA"/>
        </w:rPr>
        <w:t>Dixon, E.J., T.H. Heaton</w:t>
      </w:r>
      <w:r>
        <w:rPr>
          <w:rFonts w:eastAsiaTheme="minorHAnsi"/>
          <w:color w:val="auto"/>
          <w:szCs w:val="24"/>
          <w:lang w:val="en-CA"/>
        </w:rPr>
        <w:t xml:space="preserve">, T.E. </w:t>
      </w:r>
      <w:proofErr w:type="spellStart"/>
      <w:r>
        <w:rPr>
          <w:rFonts w:eastAsiaTheme="minorHAnsi"/>
          <w:color w:val="auto"/>
          <w:szCs w:val="24"/>
          <w:lang w:val="en-CA"/>
        </w:rPr>
        <w:t>Fifield</w:t>
      </w:r>
      <w:proofErr w:type="spellEnd"/>
      <w:r>
        <w:rPr>
          <w:rFonts w:eastAsiaTheme="minorHAnsi"/>
          <w:color w:val="auto"/>
          <w:szCs w:val="24"/>
          <w:lang w:val="en-CA"/>
        </w:rPr>
        <w:t>, T.D. Hamilton, and</w:t>
      </w:r>
      <w:r w:rsidRPr="007C65B3">
        <w:rPr>
          <w:rFonts w:eastAsiaTheme="minorHAnsi"/>
          <w:color w:val="auto"/>
          <w:szCs w:val="24"/>
          <w:lang w:val="en-CA"/>
        </w:rPr>
        <w:t xml:space="preserve"> F. Grady. 1997. </w:t>
      </w:r>
      <w:r>
        <w:rPr>
          <w:rFonts w:eastAsiaTheme="minorHAnsi"/>
          <w:color w:val="auto"/>
          <w:szCs w:val="24"/>
          <w:lang w:val="en-CA"/>
        </w:rPr>
        <w:t>“</w:t>
      </w:r>
      <w:r w:rsidRPr="007C65B3">
        <w:rPr>
          <w:rFonts w:eastAsiaTheme="minorHAnsi"/>
          <w:color w:val="auto"/>
          <w:szCs w:val="24"/>
          <w:lang w:val="en-CA"/>
        </w:rPr>
        <w:t>Late Quaternary Regional</w:t>
      </w:r>
      <w:r>
        <w:rPr>
          <w:rFonts w:eastAsiaTheme="minorHAnsi"/>
          <w:color w:val="auto"/>
          <w:szCs w:val="24"/>
          <w:lang w:val="en-CA"/>
        </w:rPr>
        <w:t xml:space="preserve"> </w:t>
      </w:r>
      <w:r w:rsidRPr="007C65B3">
        <w:rPr>
          <w:rFonts w:eastAsiaTheme="minorHAnsi"/>
          <w:color w:val="auto"/>
          <w:szCs w:val="24"/>
          <w:lang w:val="en-CA"/>
        </w:rPr>
        <w:t>Geoarchaeology of Southeast Alaska Karst: A Progress Report.</w:t>
      </w:r>
      <w:r>
        <w:rPr>
          <w:rFonts w:eastAsiaTheme="minorHAnsi"/>
          <w:color w:val="auto"/>
          <w:szCs w:val="24"/>
          <w:lang w:val="en-CA"/>
        </w:rPr>
        <w:t>”</w:t>
      </w:r>
      <w:r w:rsidRPr="007C65B3">
        <w:rPr>
          <w:rFonts w:eastAsiaTheme="minorHAnsi"/>
          <w:color w:val="auto"/>
          <w:szCs w:val="24"/>
          <w:lang w:val="en-CA"/>
        </w:rPr>
        <w:t xml:space="preserve"> </w:t>
      </w:r>
      <w:proofErr w:type="spellStart"/>
      <w:r w:rsidRPr="007C65B3">
        <w:rPr>
          <w:rFonts w:eastAsiaTheme="minorHAnsi"/>
          <w:i/>
          <w:iCs/>
          <w:color w:val="auto"/>
          <w:szCs w:val="24"/>
          <w:lang w:val="en-CA"/>
        </w:rPr>
        <w:t>Geoarchaeology</w:t>
      </w:r>
      <w:proofErr w:type="spellEnd"/>
      <w:r w:rsidRPr="007C65B3">
        <w:rPr>
          <w:rFonts w:eastAsiaTheme="minorHAnsi"/>
          <w:i/>
          <w:iCs/>
          <w:color w:val="auto"/>
          <w:szCs w:val="24"/>
          <w:lang w:val="en-CA"/>
        </w:rPr>
        <w:t xml:space="preserve"> </w:t>
      </w:r>
      <w:r w:rsidRPr="007C65B3">
        <w:rPr>
          <w:rFonts w:eastAsiaTheme="minorHAnsi"/>
          <w:color w:val="auto"/>
          <w:szCs w:val="24"/>
          <w:lang w:val="en-CA"/>
        </w:rPr>
        <w:t>12: 689-712.</w:t>
      </w:r>
    </w:p>
    <w:p w14:paraId="6AEB946B" w14:textId="474008D9" w:rsidR="00363A19" w:rsidRPr="00363A19" w:rsidRDefault="00363A19" w:rsidP="00363A19">
      <w:pPr>
        <w:ind w:left="284" w:hanging="284"/>
        <w:rPr>
          <w:rFonts w:eastAsiaTheme="minorHAnsi"/>
          <w:color w:val="auto"/>
          <w:szCs w:val="24"/>
          <w:lang w:val="en-CA"/>
        </w:rPr>
      </w:pPr>
      <w:r w:rsidRPr="00363A19">
        <w:rPr>
          <w:rFonts w:eastAsiaTheme="minorHAnsi"/>
          <w:color w:val="auto"/>
          <w:szCs w:val="24"/>
          <w:lang w:val="en-CA"/>
        </w:rPr>
        <w:t xml:space="preserve">Dixon, </w:t>
      </w:r>
      <w:r>
        <w:rPr>
          <w:rFonts w:eastAsiaTheme="minorHAnsi"/>
          <w:color w:val="auto"/>
          <w:szCs w:val="24"/>
          <w:lang w:val="en-CA"/>
        </w:rPr>
        <w:t>J.</w:t>
      </w:r>
      <w:r w:rsidRPr="00363A19">
        <w:rPr>
          <w:rFonts w:eastAsiaTheme="minorHAnsi"/>
          <w:color w:val="auto"/>
          <w:szCs w:val="24"/>
          <w:lang w:val="en-CA"/>
        </w:rPr>
        <w:t xml:space="preserve"> E. and </w:t>
      </w:r>
      <w:proofErr w:type="spellStart"/>
      <w:r>
        <w:rPr>
          <w:rFonts w:eastAsiaTheme="minorHAnsi"/>
          <w:color w:val="auto"/>
          <w:szCs w:val="24"/>
          <w:lang w:val="en-CA"/>
        </w:rPr>
        <w:t>and</w:t>
      </w:r>
      <w:proofErr w:type="spellEnd"/>
      <w:r>
        <w:rPr>
          <w:rFonts w:eastAsiaTheme="minorHAnsi"/>
          <w:color w:val="auto"/>
          <w:szCs w:val="24"/>
          <w:lang w:val="en-CA"/>
        </w:rPr>
        <w:t xml:space="preserve"> K.</w:t>
      </w:r>
      <w:r w:rsidRPr="00363A19">
        <w:rPr>
          <w:rFonts w:eastAsiaTheme="minorHAnsi"/>
          <w:color w:val="auto"/>
          <w:szCs w:val="24"/>
          <w:lang w:val="en-CA"/>
        </w:rPr>
        <w:t xml:space="preserve"> </w:t>
      </w:r>
      <w:proofErr w:type="spellStart"/>
      <w:r w:rsidRPr="00363A19">
        <w:rPr>
          <w:rFonts w:eastAsiaTheme="minorHAnsi"/>
          <w:color w:val="auto"/>
          <w:szCs w:val="24"/>
          <w:lang w:val="en-CA"/>
        </w:rPr>
        <w:t>Monteleone</w:t>
      </w:r>
      <w:proofErr w:type="spellEnd"/>
      <w:r>
        <w:rPr>
          <w:rFonts w:eastAsiaTheme="minorHAnsi"/>
          <w:color w:val="auto"/>
          <w:szCs w:val="24"/>
          <w:lang w:val="en-CA"/>
        </w:rPr>
        <w:t xml:space="preserve">. </w:t>
      </w:r>
      <w:r w:rsidRPr="00363A19">
        <w:rPr>
          <w:rFonts w:eastAsiaTheme="minorHAnsi"/>
          <w:color w:val="auto"/>
          <w:szCs w:val="24"/>
          <w:lang w:val="en-CA"/>
        </w:rPr>
        <w:t>2014</w:t>
      </w:r>
      <w:r>
        <w:rPr>
          <w:rFonts w:eastAsiaTheme="minorHAnsi"/>
          <w:color w:val="auto"/>
          <w:szCs w:val="24"/>
          <w:lang w:val="en-CA"/>
        </w:rPr>
        <w:t>. “</w:t>
      </w:r>
      <w:r w:rsidRPr="00363A19">
        <w:rPr>
          <w:rFonts w:eastAsiaTheme="minorHAnsi"/>
          <w:color w:val="auto"/>
          <w:szCs w:val="24"/>
          <w:lang w:val="en-CA"/>
        </w:rPr>
        <w:t>Gateway to the Americas: Underwater Archaeological Survey in Beringia and the North Pacific.</w:t>
      </w:r>
      <w:r>
        <w:rPr>
          <w:rFonts w:eastAsiaTheme="minorHAnsi"/>
          <w:color w:val="auto"/>
          <w:szCs w:val="24"/>
          <w:lang w:val="en-CA"/>
        </w:rPr>
        <w:t>”</w:t>
      </w:r>
      <w:r w:rsidRPr="00363A19">
        <w:rPr>
          <w:rFonts w:eastAsiaTheme="minorHAnsi"/>
          <w:color w:val="auto"/>
          <w:szCs w:val="24"/>
          <w:lang w:val="en-CA"/>
        </w:rPr>
        <w:t xml:space="preserve"> </w:t>
      </w:r>
      <w:proofErr w:type="gramStart"/>
      <w:r w:rsidRPr="00363A19">
        <w:rPr>
          <w:rFonts w:eastAsiaTheme="minorHAnsi"/>
          <w:color w:val="auto"/>
          <w:szCs w:val="24"/>
          <w:lang w:val="en-CA"/>
        </w:rPr>
        <w:t xml:space="preserve">In </w:t>
      </w:r>
      <w:r w:rsidRPr="00363A19">
        <w:rPr>
          <w:rFonts w:eastAsiaTheme="minorHAnsi"/>
          <w:i/>
          <w:color w:val="auto"/>
          <w:szCs w:val="24"/>
          <w:lang w:val="en-CA"/>
        </w:rPr>
        <w:t>Prehistoric Archaeology on the Continental Shelf</w:t>
      </w:r>
      <w:r w:rsidRPr="00363A19">
        <w:rPr>
          <w:rFonts w:eastAsiaTheme="minorHAnsi"/>
          <w:color w:val="auto"/>
          <w:szCs w:val="24"/>
          <w:lang w:val="en-CA"/>
        </w:rPr>
        <w:t>, edited by A.M Evans</w:t>
      </w:r>
      <w:r>
        <w:rPr>
          <w:rFonts w:eastAsiaTheme="minorHAnsi"/>
          <w:color w:val="auto"/>
          <w:szCs w:val="24"/>
          <w:lang w:val="en-CA"/>
        </w:rPr>
        <w:t xml:space="preserve">, J. </w:t>
      </w:r>
      <w:proofErr w:type="spellStart"/>
      <w:r>
        <w:rPr>
          <w:rFonts w:eastAsiaTheme="minorHAnsi"/>
          <w:color w:val="auto"/>
          <w:szCs w:val="24"/>
          <w:lang w:val="en-CA"/>
        </w:rPr>
        <w:t>Flatman</w:t>
      </w:r>
      <w:proofErr w:type="spellEnd"/>
      <w:r>
        <w:rPr>
          <w:rFonts w:eastAsiaTheme="minorHAnsi"/>
          <w:color w:val="auto"/>
          <w:szCs w:val="24"/>
          <w:lang w:val="en-CA"/>
        </w:rPr>
        <w:t xml:space="preserve">, and N. </w:t>
      </w:r>
      <w:proofErr w:type="spellStart"/>
      <w:r>
        <w:rPr>
          <w:rFonts w:eastAsiaTheme="minorHAnsi"/>
          <w:color w:val="auto"/>
          <w:szCs w:val="24"/>
          <w:lang w:val="en-CA"/>
        </w:rPr>
        <w:t>Flemming</w:t>
      </w:r>
      <w:proofErr w:type="spellEnd"/>
      <w:r w:rsidRPr="00363A19">
        <w:rPr>
          <w:rFonts w:eastAsiaTheme="minorHAnsi"/>
          <w:color w:val="auto"/>
          <w:szCs w:val="24"/>
          <w:lang w:val="en-CA"/>
        </w:rPr>
        <w:t>, pp. 95-114.</w:t>
      </w:r>
      <w:proofErr w:type="gramEnd"/>
      <w:r w:rsidRPr="00363A19">
        <w:rPr>
          <w:rFonts w:eastAsiaTheme="minorHAnsi"/>
          <w:color w:val="auto"/>
          <w:szCs w:val="24"/>
          <w:lang w:val="en-CA"/>
        </w:rPr>
        <w:t xml:space="preserve"> </w:t>
      </w:r>
      <w:r>
        <w:rPr>
          <w:rFonts w:eastAsiaTheme="minorHAnsi"/>
          <w:color w:val="auto"/>
          <w:szCs w:val="24"/>
          <w:lang w:val="en-CA"/>
        </w:rPr>
        <w:t>New York: Springer Science.</w:t>
      </w:r>
    </w:p>
    <w:p w14:paraId="54DFC1D0" w14:textId="77777777" w:rsidR="00142FB0" w:rsidRPr="00014B50" w:rsidRDefault="00142FB0" w:rsidP="00142FB0">
      <w:pPr>
        <w:ind w:left="284" w:hanging="284"/>
        <w:rPr>
          <w:color w:val="auto"/>
          <w:szCs w:val="24"/>
        </w:rPr>
      </w:pPr>
      <w:proofErr w:type="spellStart"/>
      <w:proofErr w:type="gramStart"/>
      <w:r w:rsidRPr="00014B50">
        <w:rPr>
          <w:color w:val="auto"/>
          <w:szCs w:val="24"/>
        </w:rPr>
        <w:t>Erlandson</w:t>
      </w:r>
      <w:proofErr w:type="spellEnd"/>
      <w:r w:rsidRPr="00014B50">
        <w:rPr>
          <w:color w:val="auto"/>
          <w:szCs w:val="24"/>
        </w:rPr>
        <w:t>, J.M. and M.L. Moss.</w:t>
      </w:r>
      <w:proofErr w:type="gramEnd"/>
      <w:r w:rsidRPr="00014B50">
        <w:rPr>
          <w:color w:val="auto"/>
          <w:szCs w:val="24"/>
        </w:rPr>
        <w:t xml:space="preserve"> 2001. “Shellfish Feeders, Carrion Eaters, and the Archaeology of Aquatic Adaptations.” </w:t>
      </w:r>
      <w:r w:rsidRPr="00014B50">
        <w:rPr>
          <w:i/>
          <w:color w:val="auto"/>
          <w:szCs w:val="24"/>
        </w:rPr>
        <w:t>American Antiquity</w:t>
      </w:r>
      <w:r w:rsidRPr="00014B50">
        <w:rPr>
          <w:color w:val="auto"/>
          <w:szCs w:val="24"/>
        </w:rPr>
        <w:t xml:space="preserve"> 66(3):414-432.</w:t>
      </w:r>
    </w:p>
    <w:p w14:paraId="271B221B" w14:textId="77777777" w:rsidR="00142FB0" w:rsidRPr="00014B50" w:rsidRDefault="00142FB0" w:rsidP="00142FB0">
      <w:pPr>
        <w:ind w:left="284" w:hanging="284"/>
        <w:rPr>
          <w:color w:val="auto"/>
          <w:szCs w:val="24"/>
        </w:rPr>
      </w:pPr>
      <w:r w:rsidRPr="00014B50">
        <w:rPr>
          <w:color w:val="auto"/>
          <w:szCs w:val="24"/>
        </w:rPr>
        <w:t xml:space="preserve">Fedje, D.W., T. Christensen, H. </w:t>
      </w:r>
      <w:proofErr w:type="spellStart"/>
      <w:r w:rsidRPr="00014B50">
        <w:rPr>
          <w:color w:val="auto"/>
          <w:szCs w:val="24"/>
        </w:rPr>
        <w:t>Josenhans</w:t>
      </w:r>
      <w:proofErr w:type="spellEnd"/>
      <w:r w:rsidRPr="00014B50">
        <w:rPr>
          <w:color w:val="auto"/>
          <w:szCs w:val="24"/>
        </w:rPr>
        <w:t xml:space="preserve">, J.B. </w:t>
      </w:r>
      <w:proofErr w:type="spellStart"/>
      <w:r w:rsidRPr="00014B50">
        <w:rPr>
          <w:color w:val="auto"/>
          <w:szCs w:val="24"/>
        </w:rPr>
        <w:t>McSporran</w:t>
      </w:r>
      <w:proofErr w:type="spellEnd"/>
      <w:r w:rsidRPr="00014B50">
        <w:rPr>
          <w:color w:val="auto"/>
          <w:szCs w:val="24"/>
        </w:rPr>
        <w:t xml:space="preserve">, and J. </w:t>
      </w:r>
      <w:proofErr w:type="spellStart"/>
      <w:r w:rsidRPr="00014B50">
        <w:rPr>
          <w:color w:val="auto"/>
          <w:szCs w:val="24"/>
        </w:rPr>
        <w:t>Strang</w:t>
      </w:r>
      <w:proofErr w:type="spellEnd"/>
      <w:r w:rsidRPr="00014B50">
        <w:rPr>
          <w:color w:val="auto"/>
          <w:szCs w:val="24"/>
        </w:rPr>
        <w:t xml:space="preserve">. 2005. “Millennial Tides and Shifting Shores: Archaeology in a Dynamic Landscape.” In </w:t>
      </w:r>
      <w:proofErr w:type="spellStart"/>
      <w:r w:rsidRPr="00014B50">
        <w:rPr>
          <w:i/>
          <w:color w:val="auto"/>
          <w:szCs w:val="24"/>
        </w:rPr>
        <w:t>Haida</w:t>
      </w:r>
      <w:proofErr w:type="spellEnd"/>
      <w:r w:rsidRPr="00014B50">
        <w:rPr>
          <w:i/>
          <w:color w:val="auto"/>
          <w:szCs w:val="24"/>
        </w:rPr>
        <w:t xml:space="preserve"> </w:t>
      </w:r>
      <w:proofErr w:type="spellStart"/>
      <w:r w:rsidRPr="00014B50">
        <w:rPr>
          <w:i/>
          <w:color w:val="auto"/>
          <w:szCs w:val="24"/>
        </w:rPr>
        <w:t>Gwaii</w:t>
      </w:r>
      <w:proofErr w:type="spellEnd"/>
      <w:r w:rsidRPr="00014B50">
        <w:rPr>
          <w:i/>
          <w:color w:val="auto"/>
          <w:szCs w:val="24"/>
        </w:rPr>
        <w:t>: Human History and Environment from the Time of the Loon to the Time of the Iron People</w:t>
      </w:r>
      <w:r w:rsidRPr="00014B50">
        <w:rPr>
          <w:color w:val="auto"/>
          <w:szCs w:val="24"/>
        </w:rPr>
        <w:t xml:space="preserve">, edited by D.W. </w:t>
      </w:r>
      <w:proofErr w:type="spellStart"/>
      <w:r w:rsidRPr="00014B50">
        <w:rPr>
          <w:color w:val="auto"/>
          <w:szCs w:val="24"/>
        </w:rPr>
        <w:t>Fedje</w:t>
      </w:r>
      <w:proofErr w:type="spellEnd"/>
      <w:r w:rsidRPr="00014B50">
        <w:rPr>
          <w:color w:val="auto"/>
          <w:szCs w:val="24"/>
        </w:rPr>
        <w:t xml:space="preserve"> and R.W. </w:t>
      </w:r>
      <w:proofErr w:type="spellStart"/>
      <w:r w:rsidRPr="00014B50">
        <w:rPr>
          <w:color w:val="auto"/>
          <w:szCs w:val="24"/>
        </w:rPr>
        <w:t>Mathewes</w:t>
      </w:r>
      <w:proofErr w:type="spellEnd"/>
      <w:r w:rsidRPr="00014B50">
        <w:rPr>
          <w:color w:val="auto"/>
          <w:szCs w:val="24"/>
        </w:rPr>
        <w:t>, pp. 163-186. Vancouver: UBC Press.</w:t>
      </w:r>
    </w:p>
    <w:p w14:paraId="56F81B9B" w14:textId="77777777" w:rsidR="00142FB0" w:rsidRPr="00014B50" w:rsidRDefault="00142FB0" w:rsidP="00142FB0">
      <w:pPr>
        <w:ind w:left="284" w:hanging="284"/>
        <w:rPr>
          <w:color w:val="auto"/>
          <w:szCs w:val="24"/>
        </w:rPr>
      </w:pPr>
      <w:proofErr w:type="spellStart"/>
      <w:r w:rsidRPr="00014B50">
        <w:rPr>
          <w:color w:val="auto"/>
          <w:szCs w:val="24"/>
        </w:rPr>
        <w:t>Fedje</w:t>
      </w:r>
      <w:proofErr w:type="spellEnd"/>
      <w:r w:rsidRPr="00014B50">
        <w:rPr>
          <w:color w:val="auto"/>
          <w:szCs w:val="24"/>
        </w:rPr>
        <w:t xml:space="preserve">, D.W. and R.F. </w:t>
      </w:r>
      <w:proofErr w:type="spellStart"/>
      <w:r w:rsidRPr="00014B50">
        <w:rPr>
          <w:color w:val="auto"/>
          <w:szCs w:val="24"/>
        </w:rPr>
        <w:t>Mathewes</w:t>
      </w:r>
      <w:proofErr w:type="spellEnd"/>
      <w:r w:rsidRPr="00014B50">
        <w:rPr>
          <w:color w:val="auto"/>
          <w:szCs w:val="24"/>
        </w:rPr>
        <w:t xml:space="preserve"> (editors). 2005. </w:t>
      </w:r>
      <w:r w:rsidRPr="00014B50">
        <w:rPr>
          <w:i/>
          <w:color w:val="auto"/>
          <w:szCs w:val="24"/>
        </w:rPr>
        <w:t>Haida Gwaii: Human History and Environment from the Time of the Loon to the Time of the Iron People</w:t>
      </w:r>
      <w:r w:rsidRPr="00014B50">
        <w:rPr>
          <w:color w:val="auto"/>
          <w:szCs w:val="24"/>
        </w:rPr>
        <w:t>. Vancouver: UBC Press.</w:t>
      </w:r>
    </w:p>
    <w:p w14:paraId="0747F330" w14:textId="77777777" w:rsidR="00142FB0" w:rsidRPr="00014B50" w:rsidRDefault="00142FB0" w:rsidP="00142FB0">
      <w:pPr>
        <w:ind w:left="284" w:hanging="284"/>
        <w:rPr>
          <w:color w:val="auto"/>
          <w:szCs w:val="24"/>
        </w:rPr>
      </w:pPr>
      <w:proofErr w:type="gramStart"/>
      <w:r w:rsidRPr="00014B50">
        <w:rPr>
          <w:color w:val="auto"/>
          <w:szCs w:val="24"/>
        </w:rPr>
        <w:t>Garfield, V. 1951.</w:t>
      </w:r>
      <w:proofErr w:type="gramEnd"/>
      <w:r w:rsidRPr="00014B50">
        <w:rPr>
          <w:color w:val="auto"/>
          <w:szCs w:val="24"/>
        </w:rPr>
        <w:t xml:space="preserve"> “The Tsimshian and their </w:t>
      </w:r>
      <w:proofErr w:type="spellStart"/>
      <w:r w:rsidRPr="00014B50">
        <w:rPr>
          <w:color w:val="auto"/>
          <w:szCs w:val="24"/>
        </w:rPr>
        <w:t>Neighbours</w:t>
      </w:r>
      <w:proofErr w:type="spellEnd"/>
      <w:r w:rsidRPr="00014B50">
        <w:rPr>
          <w:color w:val="auto"/>
          <w:szCs w:val="24"/>
        </w:rPr>
        <w:t xml:space="preserve">.” In </w:t>
      </w:r>
      <w:r w:rsidRPr="00014B50">
        <w:rPr>
          <w:i/>
          <w:color w:val="auto"/>
          <w:szCs w:val="24"/>
        </w:rPr>
        <w:t>The Tsimshian: Their Arts and Music</w:t>
      </w:r>
      <w:r w:rsidRPr="00014B50">
        <w:rPr>
          <w:color w:val="auto"/>
          <w:szCs w:val="24"/>
        </w:rPr>
        <w:t xml:space="preserve">, edited by V. Garfield, P. </w:t>
      </w:r>
      <w:proofErr w:type="spellStart"/>
      <w:r w:rsidRPr="00014B50">
        <w:rPr>
          <w:color w:val="auto"/>
          <w:szCs w:val="24"/>
        </w:rPr>
        <w:t>Wingert</w:t>
      </w:r>
      <w:proofErr w:type="spellEnd"/>
      <w:r w:rsidRPr="00014B50">
        <w:rPr>
          <w:color w:val="auto"/>
          <w:szCs w:val="24"/>
        </w:rPr>
        <w:t xml:space="preserve">, and M. </w:t>
      </w:r>
      <w:proofErr w:type="spellStart"/>
      <w:r w:rsidRPr="00014B50">
        <w:rPr>
          <w:color w:val="auto"/>
          <w:szCs w:val="24"/>
        </w:rPr>
        <w:t>Barbeau</w:t>
      </w:r>
      <w:proofErr w:type="spellEnd"/>
      <w:r w:rsidRPr="00014B50">
        <w:rPr>
          <w:color w:val="auto"/>
          <w:szCs w:val="24"/>
        </w:rPr>
        <w:t>. Publications of the American Ethnological Society 18:1–70.</w:t>
      </w:r>
    </w:p>
    <w:p w14:paraId="6E491ECC" w14:textId="77777777" w:rsidR="00142FB0" w:rsidRPr="00014B50" w:rsidRDefault="00142FB0" w:rsidP="00142FB0">
      <w:pPr>
        <w:ind w:left="284" w:hanging="284"/>
        <w:rPr>
          <w:color w:val="auto"/>
          <w:szCs w:val="24"/>
        </w:rPr>
      </w:pPr>
      <w:r w:rsidRPr="00014B50">
        <w:rPr>
          <w:color w:val="auto"/>
          <w:szCs w:val="24"/>
        </w:rPr>
        <w:lastRenderedPageBreak/>
        <w:t>Haggarty, J. 1988. “Settlement Pattern and Culture Change in the Dundas Group, North Coastal British Columbia.” Paper presented at the 41</w:t>
      </w:r>
      <w:r w:rsidRPr="00014B50">
        <w:rPr>
          <w:color w:val="auto"/>
          <w:szCs w:val="24"/>
          <w:vertAlign w:val="superscript"/>
        </w:rPr>
        <w:t>st</w:t>
      </w:r>
      <w:r w:rsidRPr="00014B50">
        <w:rPr>
          <w:color w:val="auto"/>
          <w:szCs w:val="24"/>
        </w:rPr>
        <w:t xml:space="preserve"> meeting of the Northwest Anthropological Conference, Tacoma, Washington. </w:t>
      </w:r>
    </w:p>
    <w:p w14:paraId="062F7851" w14:textId="77777777" w:rsidR="00142FB0" w:rsidRPr="00014B50" w:rsidRDefault="00142FB0" w:rsidP="00142FB0">
      <w:pPr>
        <w:ind w:left="284" w:hanging="284"/>
        <w:rPr>
          <w:i/>
          <w:iCs/>
          <w:color w:val="auto"/>
          <w:szCs w:val="24"/>
          <w:lang w:val="en-CA"/>
        </w:rPr>
      </w:pPr>
      <w:r w:rsidRPr="00014B50">
        <w:rPr>
          <w:color w:val="auto"/>
          <w:szCs w:val="24"/>
        </w:rPr>
        <w:t xml:space="preserve">Hallman, N., M. </w:t>
      </w:r>
      <w:proofErr w:type="spellStart"/>
      <w:r w:rsidRPr="00014B50">
        <w:rPr>
          <w:color w:val="auto"/>
          <w:szCs w:val="24"/>
        </w:rPr>
        <w:t>Burchell</w:t>
      </w:r>
      <w:proofErr w:type="spellEnd"/>
      <w:r w:rsidRPr="00014B50">
        <w:rPr>
          <w:color w:val="auto"/>
          <w:szCs w:val="24"/>
        </w:rPr>
        <w:t xml:space="preserve">, N. Brewster, A. Martindale, and B.R. </w:t>
      </w:r>
      <w:proofErr w:type="spellStart"/>
      <w:r w:rsidRPr="00014B50">
        <w:rPr>
          <w:color w:val="auto"/>
          <w:szCs w:val="24"/>
        </w:rPr>
        <w:t>Schöne</w:t>
      </w:r>
      <w:proofErr w:type="spellEnd"/>
      <w:r w:rsidRPr="00014B50">
        <w:rPr>
          <w:color w:val="auto"/>
          <w:szCs w:val="24"/>
        </w:rPr>
        <w:t xml:space="preserve">. 2013. “Holocene Climate and Seasonality of Shell Collection at the Dundas Islands Group, Northern British Columbia, Canada - a Bivalve </w:t>
      </w:r>
      <w:proofErr w:type="spellStart"/>
      <w:r w:rsidRPr="00014B50">
        <w:rPr>
          <w:color w:val="auto"/>
          <w:szCs w:val="24"/>
        </w:rPr>
        <w:t>Sclerochronological</w:t>
      </w:r>
      <w:proofErr w:type="spellEnd"/>
      <w:r w:rsidRPr="00014B50">
        <w:rPr>
          <w:color w:val="auto"/>
          <w:szCs w:val="24"/>
        </w:rPr>
        <w:t xml:space="preserve"> Approach.” </w:t>
      </w:r>
      <w:proofErr w:type="spellStart"/>
      <w:r w:rsidRPr="00014B50">
        <w:rPr>
          <w:i/>
          <w:color w:val="auto"/>
          <w:szCs w:val="24"/>
        </w:rPr>
        <w:t>Palaeogeography</w:t>
      </w:r>
      <w:proofErr w:type="spellEnd"/>
      <w:r w:rsidRPr="00014B50">
        <w:rPr>
          <w:i/>
          <w:color w:val="auto"/>
          <w:szCs w:val="24"/>
        </w:rPr>
        <w:t xml:space="preserve">, </w:t>
      </w:r>
      <w:proofErr w:type="spellStart"/>
      <w:r w:rsidRPr="00014B50">
        <w:rPr>
          <w:i/>
          <w:color w:val="auto"/>
          <w:szCs w:val="24"/>
        </w:rPr>
        <w:t>Palaeoclimatology</w:t>
      </w:r>
      <w:proofErr w:type="spellEnd"/>
      <w:r w:rsidRPr="00014B50">
        <w:rPr>
          <w:i/>
          <w:color w:val="auto"/>
          <w:szCs w:val="24"/>
        </w:rPr>
        <w:t xml:space="preserve">, </w:t>
      </w:r>
      <w:proofErr w:type="spellStart"/>
      <w:r w:rsidRPr="00014B50">
        <w:rPr>
          <w:i/>
          <w:color w:val="auto"/>
          <w:szCs w:val="24"/>
        </w:rPr>
        <w:t>Palaeoecology</w:t>
      </w:r>
      <w:proofErr w:type="spellEnd"/>
      <w:r w:rsidRPr="00014B50">
        <w:rPr>
          <w:i/>
          <w:iCs/>
          <w:color w:val="auto"/>
          <w:szCs w:val="24"/>
          <w:lang w:val="en-CA"/>
        </w:rPr>
        <w:t xml:space="preserve"> </w:t>
      </w:r>
      <w:r w:rsidRPr="00014B50">
        <w:rPr>
          <w:color w:val="auto"/>
          <w:szCs w:val="24"/>
        </w:rPr>
        <w:t>373:163-172.</w:t>
      </w:r>
    </w:p>
    <w:p w14:paraId="662766CF" w14:textId="77777777" w:rsidR="00142FB0" w:rsidRPr="00014B50" w:rsidRDefault="00142FB0" w:rsidP="00142FB0">
      <w:pPr>
        <w:ind w:left="284" w:hanging="284"/>
        <w:rPr>
          <w:color w:val="auto"/>
          <w:szCs w:val="24"/>
        </w:rPr>
      </w:pPr>
      <w:proofErr w:type="spellStart"/>
      <w:proofErr w:type="gramStart"/>
      <w:r w:rsidRPr="00014B50">
        <w:rPr>
          <w:color w:val="auto"/>
          <w:szCs w:val="24"/>
        </w:rPr>
        <w:t>Halpin</w:t>
      </w:r>
      <w:proofErr w:type="spellEnd"/>
      <w:r w:rsidRPr="00014B50">
        <w:rPr>
          <w:color w:val="auto"/>
          <w:szCs w:val="24"/>
        </w:rPr>
        <w:t>, M. and M. Seguin.</w:t>
      </w:r>
      <w:proofErr w:type="gramEnd"/>
      <w:r w:rsidRPr="00014B50">
        <w:rPr>
          <w:color w:val="auto"/>
          <w:szCs w:val="24"/>
        </w:rPr>
        <w:t xml:space="preserve"> 1990. “Tsimshian Peoples: Southern Tsimshian, Coast Tsimshian, </w:t>
      </w:r>
      <w:proofErr w:type="spellStart"/>
      <w:r w:rsidRPr="00014B50">
        <w:rPr>
          <w:color w:val="auto"/>
          <w:szCs w:val="24"/>
        </w:rPr>
        <w:t>Nishga</w:t>
      </w:r>
      <w:proofErr w:type="spellEnd"/>
      <w:r w:rsidRPr="00014B50">
        <w:rPr>
          <w:color w:val="auto"/>
          <w:szCs w:val="24"/>
        </w:rPr>
        <w:t xml:space="preserve">, and </w:t>
      </w:r>
      <w:proofErr w:type="spellStart"/>
      <w:r w:rsidRPr="00014B50">
        <w:rPr>
          <w:color w:val="auto"/>
          <w:szCs w:val="24"/>
        </w:rPr>
        <w:t>Gitksan</w:t>
      </w:r>
      <w:proofErr w:type="spellEnd"/>
      <w:r w:rsidRPr="00014B50">
        <w:rPr>
          <w:color w:val="auto"/>
          <w:szCs w:val="24"/>
        </w:rPr>
        <w:t xml:space="preserve">. In </w:t>
      </w:r>
      <w:r w:rsidRPr="00014B50">
        <w:rPr>
          <w:i/>
          <w:color w:val="auto"/>
          <w:szCs w:val="24"/>
        </w:rPr>
        <w:t>The Handbook of American Indians Volume 7: the Northwest Coast</w:t>
      </w:r>
      <w:r w:rsidRPr="00014B50">
        <w:rPr>
          <w:color w:val="auto"/>
          <w:szCs w:val="24"/>
        </w:rPr>
        <w:t>, edited by W. Suttles, pp. 267-284. Washington, DC: Smithsonian Institution.</w:t>
      </w:r>
    </w:p>
    <w:p w14:paraId="109FF38F" w14:textId="1206DD32" w:rsidR="00142FB0" w:rsidRDefault="00142FB0" w:rsidP="00142FB0">
      <w:pPr>
        <w:ind w:left="284" w:hanging="284"/>
        <w:rPr>
          <w:color w:val="auto"/>
          <w:szCs w:val="24"/>
        </w:rPr>
      </w:pPr>
      <w:r w:rsidRPr="00014B50">
        <w:rPr>
          <w:color w:val="auto"/>
          <w:szCs w:val="24"/>
        </w:rPr>
        <w:t>Hetherington, R., J. V. Barrie, R. G.B. Reid, R. MacLeod and D. J. Smith.</w:t>
      </w:r>
      <w:r w:rsidRPr="00014B50">
        <w:rPr>
          <w:color w:val="auto"/>
          <w:szCs w:val="24"/>
        </w:rPr>
        <w:tab/>
        <w:t xml:space="preserve">2004. “Paleogeography, </w:t>
      </w:r>
      <w:r w:rsidR="00646E4C">
        <w:rPr>
          <w:color w:val="auto"/>
          <w:szCs w:val="24"/>
        </w:rPr>
        <w:t>G</w:t>
      </w:r>
      <w:r w:rsidRPr="00014B50">
        <w:rPr>
          <w:color w:val="auto"/>
          <w:szCs w:val="24"/>
        </w:rPr>
        <w:t xml:space="preserve">lacially </w:t>
      </w:r>
      <w:r w:rsidR="00646E4C">
        <w:rPr>
          <w:color w:val="auto"/>
          <w:szCs w:val="24"/>
        </w:rPr>
        <w:t>I</w:t>
      </w:r>
      <w:r w:rsidRPr="00014B50">
        <w:rPr>
          <w:color w:val="auto"/>
          <w:szCs w:val="24"/>
        </w:rPr>
        <w:t xml:space="preserve">nduced </w:t>
      </w:r>
      <w:r w:rsidR="00646E4C">
        <w:rPr>
          <w:color w:val="auto"/>
          <w:szCs w:val="24"/>
        </w:rPr>
        <w:t>C</w:t>
      </w:r>
      <w:r w:rsidRPr="00014B50">
        <w:rPr>
          <w:color w:val="auto"/>
          <w:szCs w:val="24"/>
        </w:rPr>
        <w:t xml:space="preserve">rustal </w:t>
      </w:r>
      <w:r w:rsidR="00646E4C">
        <w:rPr>
          <w:color w:val="auto"/>
          <w:szCs w:val="24"/>
        </w:rPr>
        <w:t>D</w:t>
      </w:r>
      <w:r w:rsidRPr="00014B50">
        <w:rPr>
          <w:color w:val="auto"/>
          <w:szCs w:val="24"/>
        </w:rPr>
        <w:t xml:space="preserve">isplacement, and Late Quaternary </w:t>
      </w:r>
      <w:r w:rsidR="00646E4C">
        <w:rPr>
          <w:color w:val="auto"/>
          <w:szCs w:val="24"/>
        </w:rPr>
        <w:t>C</w:t>
      </w:r>
      <w:r w:rsidRPr="00014B50">
        <w:rPr>
          <w:color w:val="auto"/>
          <w:szCs w:val="24"/>
        </w:rPr>
        <w:t xml:space="preserve">oastlines on the </w:t>
      </w:r>
      <w:r w:rsidR="00646E4C">
        <w:rPr>
          <w:color w:val="auto"/>
          <w:szCs w:val="24"/>
        </w:rPr>
        <w:t>C</w:t>
      </w:r>
      <w:r w:rsidRPr="00014B50">
        <w:rPr>
          <w:color w:val="auto"/>
          <w:szCs w:val="24"/>
        </w:rPr>
        <w:t xml:space="preserve">ontinental </w:t>
      </w:r>
      <w:r w:rsidR="00646E4C">
        <w:rPr>
          <w:color w:val="auto"/>
          <w:szCs w:val="24"/>
        </w:rPr>
        <w:t>S</w:t>
      </w:r>
      <w:r w:rsidRPr="00014B50">
        <w:rPr>
          <w:color w:val="auto"/>
          <w:szCs w:val="24"/>
        </w:rPr>
        <w:t xml:space="preserve">helf of British Columbia, Canada.” </w:t>
      </w:r>
      <w:r w:rsidRPr="00014B50">
        <w:rPr>
          <w:i/>
          <w:iCs/>
          <w:color w:val="auto"/>
          <w:szCs w:val="24"/>
        </w:rPr>
        <w:t>Quaternary Science Reviews</w:t>
      </w:r>
      <w:r w:rsidRPr="00014B50">
        <w:rPr>
          <w:color w:val="auto"/>
          <w:szCs w:val="24"/>
        </w:rPr>
        <w:t xml:space="preserve"> 23(3-4):295–318. </w:t>
      </w:r>
    </w:p>
    <w:p w14:paraId="150CBFD1" w14:textId="0281BE9F" w:rsidR="007C65B3" w:rsidRPr="00014B50" w:rsidRDefault="007C65B3" w:rsidP="007C65B3">
      <w:pPr>
        <w:ind w:left="284" w:hanging="284"/>
        <w:rPr>
          <w:color w:val="auto"/>
          <w:szCs w:val="24"/>
        </w:rPr>
      </w:pPr>
      <w:r w:rsidRPr="00914EBD">
        <w:rPr>
          <w:color w:val="auto"/>
          <w:szCs w:val="24"/>
          <w:lang w:val="en-CA"/>
        </w:rPr>
        <w:t xml:space="preserve">Holmes, C.E., R.J. Dale, J.E. &amp; D. McMahon. 1989. </w:t>
      </w:r>
      <w:r w:rsidR="00914EBD">
        <w:rPr>
          <w:color w:val="auto"/>
          <w:szCs w:val="24"/>
          <w:lang w:val="en-CA"/>
        </w:rPr>
        <w:t>“</w:t>
      </w:r>
      <w:r w:rsidRPr="00914EBD">
        <w:rPr>
          <w:color w:val="auto"/>
          <w:szCs w:val="24"/>
          <w:lang w:val="en-CA"/>
        </w:rPr>
        <w:t>Archaeological Mitigation of the Thorne River Site (CRG-177) Prince of Wales Island, Alaska, Forest Highway No. 42, (DT-FH70-86-A-00003).</w:t>
      </w:r>
      <w:r w:rsidR="00914EBD">
        <w:rPr>
          <w:color w:val="auto"/>
          <w:szCs w:val="24"/>
          <w:lang w:val="en-CA"/>
        </w:rPr>
        <w:t>”</w:t>
      </w:r>
      <w:r w:rsidRPr="00914EBD">
        <w:rPr>
          <w:color w:val="auto"/>
          <w:szCs w:val="24"/>
          <w:lang w:val="en-CA"/>
        </w:rPr>
        <w:t xml:space="preserve"> </w:t>
      </w:r>
      <w:proofErr w:type="gramStart"/>
      <w:r w:rsidRPr="00914EBD">
        <w:rPr>
          <w:color w:val="auto"/>
          <w:szCs w:val="24"/>
          <w:lang w:val="en-CA"/>
        </w:rPr>
        <w:t>Office of History and Archaeology Report Number 15.</w:t>
      </w:r>
      <w:proofErr w:type="gramEnd"/>
      <w:r w:rsidRPr="00914EBD">
        <w:rPr>
          <w:color w:val="auto"/>
          <w:szCs w:val="24"/>
          <w:lang w:val="en-CA"/>
        </w:rPr>
        <w:t xml:space="preserve"> Anchorage.</w:t>
      </w:r>
    </w:p>
    <w:p w14:paraId="634F7F0D" w14:textId="7DE256A2" w:rsidR="00142FB0" w:rsidRPr="00014B50" w:rsidRDefault="00142FB0" w:rsidP="00142FB0">
      <w:pPr>
        <w:ind w:left="284" w:hanging="284"/>
        <w:rPr>
          <w:color w:val="auto"/>
          <w:szCs w:val="24"/>
        </w:rPr>
      </w:pPr>
      <w:r w:rsidRPr="00914EBD">
        <w:rPr>
          <w:color w:val="auto"/>
          <w:szCs w:val="24"/>
        </w:rPr>
        <w:t xml:space="preserve">Inglis, R. 1975. </w:t>
      </w:r>
      <w:r w:rsidR="00914EBD" w:rsidRPr="00914EBD">
        <w:rPr>
          <w:color w:val="auto"/>
          <w:szCs w:val="24"/>
        </w:rPr>
        <w:t>“</w:t>
      </w:r>
      <w:r w:rsidRPr="00914EBD">
        <w:rPr>
          <w:color w:val="auto"/>
          <w:szCs w:val="24"/>
        </w:rPr>
        <w:t>Archaeological Report for Permit 1975-19, Archaeological Sites Advisory Board of British Columbia.</w:t>
      </w:r>
      <w:r w:rsidR="00914EBD" w:rsidRPr="00914EBD">
        <w:rPr>
          <w:color w:val="auto"/>
          <w:szCs w:val="24"/>
        </w:rPr>
        <w:t>”</w:t>
      </w:r>
      <w:r w:rsidRPr="00914EBD">
        <w:rPr>
          <w:color w:val="auto"/>
          <w:szCs w:val="24"/>
        </w:rPr>
        <w:t xml:space="preserve"> </w:t>
      </w:r>
      <w:r w:rsidR="00914EBD" w:rsidRPr="00914EBD">
        <w:rPr>
          <w:color w:val="auto"/>
          <w:szCs w:val="24"/>
        </w:rPr>
        <w:t xml:space="preserve">Unpublished </w:t>
      </w:r>
      <w:proofErr w:type="spellStart"/>
      <w:r w:rsidR="00914EBD" w:rsidRPr="00914EBD">
        <w:rPr>
          <w:color w:val="auto"/>
          <w:szCs w:val="24"/>
        </w:rPr>
        <w:t>Report.</w:t>
      </w:r>
      <w:r w:rsidRPr="00914EBD">
        <w:rPr>
          <w:color w:val="auto"/>
          <w:szCs w:val="24"/>
        </w:rPr>
        <w:t>Victoria</w:t>
      </w:r>
      <w:proofErr w:type="spellEnd"/>
      <w:r w:rsidRPr="00914EBD">
        <w:rPr>
          <w:color w:val="auto"/>
          <w:szCs w:val="24"/>
        </w:rPr>
        <w:t>, BC: Archaeological Branch.</w:t>
      </w:r>
      <w:r w:rsidRPr="00014B50">
        <w:rPr>
          <w:color w:val="auto"/>
          <w:szCs w:val="24"/>
        </w:rPr>
        <w:t xml:space="preserve"> </w:t>
      </w:r>
    </w:p>
    <w:p w14:paraId="7BCA0836" w14:textId="77777777" w:rsidR="00142FB0" w:rsidRPr="00014B50" w:rsidRDefault="00142FB0" w:rsidP="00142FB0">
      <w:pPr>
        <w:ind w:left="284" w:hanging="284"/>
        <w:rPr>
          <w:color w:val="auto"/>
          <w:szCs w:val="24"/>
        </w:rPr>
      </w:pPr>
      <w:proofErr w:type="spellStart"/>
      <w:proofErr w:type="gramStart"/>
      <w:r w:rsidRPr="00014B50">
        <w:rPr>
          <w:color w:val="auto"/>
          <w:szCs w:val="24"/>
        </w:rPr>
        <w:t>Letham</w:t>
      </w:r>
      <w:proofErr w:type="spellEnd"/>
      <w:r w:rsidRPr="00014B50">
        <w:rPr>
          <w:color w:val="auto"/>
          <w:szCs w:val="24"/>
        </w:rPr>
        <w:t>, B. 2014.</w:t>
      </w:r>
      <w:proofErr w:type="gramEnd"/>
      <w:r w:rsidRPr="00014B50">
        <w:rPr>
          <w:color w:val="auto"/>
          <w:szCs w:val="24"/>
        </w:rPr>
        <w:t xml:space="preserve"> “Settlement and Shell-Bearing Site Diversity in the Sechelt Inlet System, British Columbia.”</w:t>
      </w:r>
      <w:r w:rsidRPr="00014B50">
        <w:rPr>
          <w:i/>
          <w:color w:val="auto"/>
          <w:szCs w:val="24"/>
        </w:rPr>
        <w:t xml:space="preserve"> Canadian Journal of Archaeology </w:t>
      </w:r>
      <w:r w:rsidRPr="00014B50">
        <w:rPr>
          <w:color w:val="auto"/>
          <w:szCs w:val="24"/>
        </w:rPr>
        <w:t>38(1):280-328.</w:t>
      </w:r>
    </w:p>
    <w:p w14:paraId="10A9EE70" w14:textId="28B4D925" w:rsidR="00142FB0" w:rsidRPr="00014B50" w:rsidRDefault="00142FB0" w:rsidP="00142FB0">
      <w:pPr>
        <w:ind w:left="284" w:hanging="284"/>
        <w:rPr>
          <w:color w:val="auto"/>
          <w:szCs w:val="24"/>
        </w:rPr>
      </w:pPr>
      <w:r w:rsidRPr="00014B50">
        <w:rPr>
          <w:color w:val="auto"/>
          <w:szCs w:val="24"/>
        </w:rPr>
        <w:t xml:space="preserve">MacDonald, G.F. and J.S. Cybulski. 2001. “Introduction: the Prince Rupert Harbour Project.” In </w:t>
      </w:r>
      <w:r w:rsidRPr="00014B50">
        <w:rPr>
          <w:i/>
          <w:color w:val="auto"/>
          <w:szCs w:val="24"/>
        </w:rPr>
        <w:t>Perspectives on Northern Northwest Coast Prehistory</w:t>
      </w:r>
      <w:r w:rsidRPr="00014B50">
        <w:rPr>
          <w:color w:val="auto"/>
          <w:szCs w:val="24"/>
        </w:rPr>
        <w:t>, edited by J</w:t>
      </w:r>
      <w:r w:rsidR="00646E4C">
        <w:rPr>
          <w:color w:val="auto"/>
          <w:szCs w:val="24"/>
        </w:rPr>
        <w:t>.</w:t>
      </w:r>
      <w:r w:rsidRPr="00014B50">
        <w:rPr>
          <w:color w:val="auto"/>
          <w:szCs w:val="24"/>
        </w:rPr>
        <w:t xml:space="preserve">S. Cybulski, pp. 1-23. </w:t>
      </w:r>
      <w:proofErr w:type="gramStart"/>
      <w:r w:rsidRPr="00014B50">
        <w:rPr>
          <w:color w:val="auto"/>
          <w:szCs w:val="24"/>
        </w:rPr>
        <w:t>Mercury Series Paper 160.</w:t>
      </w:r>
      <w:proofErr w:type="gramEnd"/>
      <w:r w:rsidRPr="00014B50">
        <w:rPr>
          <w:color w:val="auto"/>
          <w:szCs w:val="24"/>
        </w:rPr>
        <w:t xml:space="preserve"> Ottawa: Archaeological Survey of Canada, Canadian Museum of Civilization.</w:t>
      </w:r>
    </w:p>
    <w:p w14:paraId="622D0B0A" w14:textId="3CFB24ED" w:rsidR="00142FB0" w:rsidRPr="00014B50" w:rsidRDefault="00142FB0" w:rsidP="00142FB0">
      <w:pPr>
        <w:ind w:left="284" w:hanging="284"/>
        <w:rPr>
          <w:color w:val="auto"/>
          <w:szCs w:val="24"/>
        </w:rPr>
      </w:pPr>
      <w:r w:rsidRPr="00014B50">
        <w:rPr>
          <w:color w:val="auto"/>
          <w:szCs w:val="24"/>
        </w:rPr>
        <w:t xml:space="preserve">MacDonald, G.F. and R.I. Inglis. 1981. “An </w:t>
      </w:r>
      <w:r w:rsidR="00646E4C">
        <w:rPr>
          <w:color w:val="auto"/>
          <w:szCs w:val="24"/>
        </w:rPr>
        <w:t>O</w:t>
      </w:r>
      <w:r w:rsidRPr="00014B50">
        <w:rPr>
          <w:color w:val="auto"/>
          <w:szCs w:val="24"/>
        </w:rPr>
        <w:t xml:space="preserve">verview of the North Coast Prehistory Project (1966-1980).” </w:t>
      </w:r>
      <w:r w:rsidRPr="00014B50">
        <w:rPr>
          <w:i/>
          <w:color w:val="auto"/>
          <w:szCs w:val="24"/>
        </w:rPr>
        <w:t xml:space="preserve">BC Studies </w:t>
      </w:r>
      <w:r w:rsidRPr="00014B50">
        <w:rPr>
          <w:color w:val="auto"/>
          <w:szCs w:val="24"/>
        </w:rPr>
        <w:t>48:37-62.</w:t>
      </w:r>
    </w:p>
    <w:p w14:paraId="750D5BFE" w14:textId="77777777" w:rsidR="00142FB0" w:rsidRPr="00014B50" w:rsidRDefault="00142FB0" w:rsidP="00142FB0">
      <w:pPr>
        <w:ind w:left="284" w:hanging="284"/>
        <w:rPr>
          <w:color w:val="auto"/>
          <w:szCs w:val="24"/>
        </w:rPr>
      </w:pPr>
      <w:r w:rsidRPr="00014B50">
        <w:rPr>
          <w:color w:val="auto"/>
          <w:szCs w:val="24"/>
        </w:rPr>
        <w:t xml:space="preserve">Mackie, A.P. and I.D. Sumpter. 2005. “Shoreline Settlement Patterns in </w:t>
      </w:r>
      <w:proofErr w:type="spellStart"/>
      <w:r w:rsidRPr="00014B50">
        <w:rPr>
          <w:color w:val="auto"/>
          <w:szCs w:val="24"/>
        </w:rPr>
        <w:t>Gwaii</w:t>
      </w:r>
      <w:proofErr w:type="spellEnd"/>
      <w:r w:rsidRPr="00014B50">
        <w:rPr>
          <w:color w:val="auto"/>
          <w:szCs w:val="24"/>
        </w:rPr>
        <w:t xml:space="preserve"> </w:t>
      </w:r>
      <w:proofErr w:type="spellStart"/>
      <w:r w:rsidRPr="00014B50">
        <w:rPr>
          <w:color w:val="auto"/>
          <w:szCs w:val="24"/>
        </w:rPr>
        <w:t>Haanas</w:t>
      </w:r>
      <w:proofErr w:type="spellEnd"/>
      <w:r w:rsidRPr="00014B50">
        <w:rPr>
          <w:color w:val="auto"/>
          <w:szCs w:val="24"/>
        </w:rPr>
        <w:t xml:space="preserve"> during the Early and Late Holocene.” In </w:t>
      </w:r>
      <w:proofErr w:type="spellStart"/>
      <w:r w:rsidRPr="00014B50">
        <w:rPr>
          <w:i/>
          <w:color w:val="auto"/>
          <w:szCs w:val="24"/>
        </w:rPr>
        <w:t>Haida</w:t>
      </w:r>
      <w:proofErr w:type="spellEnd"/>
      <w:r w:rsidRPr="00014B50">
        <w:rPr>
          <w:i/>
          <w:color w:val="auto"/>
          <w:szCs w:val="24"/>
        </w:rPr>
        <w:t xml:space="preserve"> </w:t>
      </w:r>
      <w:proofErr w:type="spellStart"/>
      <w:r w:rsidRPr="00014B50">
        <w:rPr>
          <w:i/>
          <w:color w:val="auto"/>
          <w:szCs w:val="24"/>
        </w:rPr>
        <w:t>Gwaii</w:t>
      </w:r>
      <w:proofErr w:type="spellEnd"/>
      <w:r w:rsidRPr="00014B50">
        <w:rPr>
          <w:i/>
          <w:color w:val="auto"/>
          <w:szCs w:val="24"/>
        </w:rPr>
        <w:t>: Human History and Environment from the Time of the Loon to the Time of the Iron People</w:t>
      </w:r>
      <w:r w:rsidRPr="00014B50">
        <w:rPr>
          <w:color w:val="auto"/>
          <w:szCs w:val="24"/>
        </w:rPr>
        <w:t xml:space="preserve">, edited by D.W. </w:t>
      </w:r>
      <w:proofErr w:type="spellStart"/>
      <w:r w:rsidRPr="00014B50">
        <w:rPr>
          <w:color w:val="auto"/>
          <w:szCs w:val="24"/>
        </w:rPr>
        <w:t>Fedje</w:t>
      </w:r>
      <w:proofErr w:type="spellEnd"/>
      <w:r w:rsidRPr="00014B50">
        <w:rPr>
          <w:color w:val="auto"/>
          <w:szCs w:val="24"/>
        </w:rPr>
        <w:t xml:space="preserve"> and R.W. </w:t>
      </w:r>
      <w:proofErr w:type="spellStart"/>
      <w:r w:rsidRPr="00014B50">
        <w:rPr>
          <w:color w:val="auto"/>
          <w:szCs w:val="24"/>
        </w:rPr>
        <w:t>Mathewes</w:t>
      </w:r>
      <w:proofErr w:type="spellEnd"/>
      <w:r w:rsidRPr="00014B50">
        <w:rPr>
          <w:color w:val="auto"/>
          <w:szCs w:val="24"/>
        </w:rPr>
        <w:t>, pp. 337-371. Vancouver: UBC Press.</w:t>
      </w:r>
    </w:p>
    <w:p w14:paraId="1C8F058E" w14:textId="77777777" w:rsidR="00142FB0" w:rsidRPr="00014B50" w:rsidRDefault="00142FB0" w:rsidP="00142FB0">
      <w:pPr>
        <w:ind w:left="284" w:hanging="284"/>
        <w:rPr>
          <w:color w:val="auto"/>
          <w:szCs w:val="24"/>
        </w:rPr>
      </w:pPr>
      <w:r w:rsidRPr="00014B50">
        <w:rPr>
          <w:color w:val="auto"/>
          <w:szCs w:val="24"/>
        </w:rPr>
        <w:t xml:space="preserve">Mackie, A.P. and L. Williamson. 2003.”Nuu-chah-nulth Houses: Structural Remains and Cultural Depressions on Southwest Vancouver Island.” In </w:t>
      </w:r>
      <w:r w:rsidRPr="00014B50">
        <w:rPr>
          <w:i/>
          <w:color w:val="auto"/>
          <w:szCs w:val="24"/>
        </w:rPr>
        <w:t>Emerging from the Mist: Studies in Northwest Coast Culture History</w:t>
      </w:r>
      <w:r w:rsidRPr="00014B50">
        <w:rPr>
          <w:color w:val="auto"/>
          <w:szCs w:val="24"/>
        </w:rPr>
        <w:t>, edited by R.G. Matson, G. Coupland, and Q. Mackie, pp. 105-151. Vancouver: UBC Press.</w:t>
      </w:r>
    </w:p>
    <w:p w14:paraId="35D4C9D1" w14:textId="77777777" w:rsidR="00142FB0" w:rsidRPr="00014B50" w:rsidRDefault="00142FB0" w:rsidP="00142FB0">
      <w:pPr>
        <w:ind w:left="284" w:hanging="284"/>
        <w:rPr>
          <w:color w:val="auto"/>
          <w:szCs w:val="24"/>
        </w:rPr>
      </w:pPr>
      <w:r w:rsidRPr="00014B50">
        <w:rPr>
          <w:color w:val="auto"/>
          <w:szCs w:val="24"/>
        </w:rPr>
        <w:t xml:space="preserve">Mackie, Q., D.W. Fedje, D. McLaren, N. Smith, and I. McKechnie. 2011. “Early Environments and Archaeology of Coastal British Columbia.” In </w:t>
      </w:r>
      <w:r w:rsidRPr="00014B50">
        <w:rPr>
          <w:i/>
          <w:color w:val="auto"/>
          <w:szCs w:val="24"/>
        </w:rPr>
        <w:t>Trekking the Shore: Changing Coastlines and the Antiquity of Coastal Settlement</w:t>
      </w:r>
      <w:r w:rsidRPr="00014B50">
        <w:rPr>
          <w:color w:val="auto"/>
          <w:szCs w:val="24"/>
        </w:rPr>
        <w:t xml:space="preserve">, edited by N.F. </w:t>
      </w:r>
      <w:proofErr w:type="spellStart"/>
      <w:r w:rsidRPr="00014B50">
        <w:rPr>
          <w:color w:val="auto"/>
          <w:szCs w:val="24"/>
        </w:rPr>
        <w:t>Bicho</w:t>
      </w:r>
      <w:proofErr w:type="spellEnd"/>
      <w:r w:rsidRPr="00014B50">
        <w:rPr>
          <w:color w:val="auto"/>
          <w:szCs w:val="24"/>
        </w:rPr>
        <w:t>, J.A. Haws, and L.G. Davis, pp. 51-103</w:t>
      </w:r>
      <w:proofErr w:type="gramStart"/>
      <w:r w:rsidRPr="00014B50">
        <w:rPr>
          <w:color w:val="auto"/>
          <w:szCs w:val="24"/>
        </w:rPr>
        <w:t>..</w:t>
      </w:r>
      <w:proofErr w:type="gramEnd"/>
      <w:r w:rsidRPr="00014B50">
        <w:rPr>
          <w:color w:val="auto"/>
          <w:szCs w:val="24"/>
        </w:rPr>
        <w:t xml:space="preserve"> New York: Springer. </w:t>
      </w:r>
    </w:p>
    <w:p w14:paraId="3F4F175D" w14:textId="77777777" w:rsidR="00142FB0" w:rsidRPr="00014B50" w:rsidRDefault="00142FB0" w:rsidP="00142FB0">
      <w:pPr>
        <w:ind w:left="284" w:hanging="284"/>
        <w:rPr>
          <w:color w:val="auto"/>
          <w:szCs w:val="24"/>
        </w:rPr>
      </w:pPr>
      <w:proofErr w:type="spellStart"/>
      <w:r w:rsidRPr="00014B50">
        <w:rPr>
          <w:color w:val="auto"/>
          <w:szCs w:val="24"/>
        </w:rPr>
        <w:lastRenderedPageBreak/>
        <w:t>Mandryk</w:t>
      </w:r>
      <w:proofErr w:type="spellEnd"/>
      <w:r w:rsidRPr="00014B50">
        <w:rPr>
          <w:color w:val="auto"/>
          <w:szCs w:val="24"/>
        </w:rPr>
        <w:t xml:space="preserve">, C.A.S., H. </w:t>
      </w:r>
      <w:proofErr w:type="spellStart"/>
      <w:r w:rsidRPr="00014B50">
        <w:rPr>
          <w:color w:val="auto"/>
          <w:szCs w:val="24"/>
        </w:rPr>
        <w:t>Josenhans</w:t>
      </w:r>
      <w:proofErr w:type="spellEnd"/>
      <w:r w:rsidRPr="00014B50">
        <w:rPr>
          <w:color w:val="auto"/>
          <w:szCs w:val="24"/>
        </w:rPr>
        <w:t xml:space="preserve">, D.W. </w:t>
      </w:r>
      <w:proofErr w:type="spellStart"/>
      <w:r w:rsidRPr="00014B50">
        <w:rPr>
          <w:color w:val="auto"/>
          <w:szCs w:val="24"/>
        </w:rPr>
        <w:t>Fedje</w:t>
      </w:r>
      <w:proofErr w:type="spellEnd"/>
      <w:r w:rsidRPr="00014B50">
        <w:rPr>
          <w:color w:val="auto"/>
          <w:szCs w:val="24"/>
        </w:rPr>
        <w:t xml:space="preserve">, and R.W. </w:t>
      </w:r>
      <w:proofErr w:type="spellStart"/>
      <w:r w:rsidRPr="00014B50">
        <w:rPr>
          <w:color w:val="auto"/>
          <w:szCs w:val="24"/>
        </w:rPr>
        <w:t>Mathewes</w:t>
      </w:r>
      <w:proofErr w:type="spellEnd"/>
      <w:r w:rsidRPr="00014B50">
        <w:rPr>
          <w:color w:val="auto"/>
          <w:szCs w:val="24"/>
        </w:rPr>
        <w:t xml:space="preserve">. 2001. “Late Quaternary Paleoenvironments of Northwestern North America: Implications for Inland versus Coastal Migration Routes.” </w:t>
      </w:r>
      <w:r w:rsidRPr="00014B50">
        <w:rPr>
          <w:i/>
          <w:color w:val="auto"/>
          <w:szCs w:val="24"/>
        </w:rPr>
        <w:t>Quaternary Science Reviews</w:t>
      </w:r>
      <w:r w:rsidRPr="00014B50">
        <w:rPr>
          <w:color w:val="auto"/>
          <w:szCs w:val="24"/>
        </w:rPr>
        <w:t xml:space="preserve"> 20:301-314.</w:t>
      </w:r>
    </w:p>
    <w:p w14:paraId="58402CB7" w14:textId="09C472B1" w:rsidR="00142FB0" w:rsidRPr="00014B50" w:rsidRDefault="00142FB0" w:rsidP="00142FB0">
      <w:pPr>
        <w:ind w:left="284" w:hanging="284"/>
        <w:rPr>
          <w:color w:val="auto"/>
          <w:szCs w:val="24"/>
        </w:rPr>
      </w:pPr>
      <w:r w:rsidRPr="00014B50">
        <w:rPr>
          <w:color w:val="auto"/>
          <w:szCs w:val="24"/>
        </w:rPr>
        <w:t xml:space="preserve">Marsden, S. 2000. </w:t>
      </w:r>
      <w:r w:rsidRPr="00014B50">
        <w:rPr>
          <w:i/>
          <w:color w:val="auto"/>
          <w:szCs w:val="24"/>
        </w:rPr>
        <w:t>Defending the Mouth of the Skeena: Perspectives on Tsimshian-Tlingit Relations</w:t>
      </w:r>
      <w:r w:rsidRPr="00014B50">
        <w:rPr>
          <w:color w:val="auto"/>
          <w:szCs w:val="24"/>
        </w:rPr>
        <w:t xml:space="preserve">.” Prince Rupert, </w:t>
      </w:r>
      <w:r w:rsidR="00646E4C">
        <w:rPr>
          <w:color w:val="auto"/>
          <w:szCs w:val="24"/>
        </w:rPr>
        <w:t>BC</w:t>
      </w:r>
      <w:r w:rsidRPr="00014B50">
        <w:rPr>
          <w:color w:val="auto"/>
          <w:szCs w:val="24"/>
        </w:rPr>
        <w:t>: Tin Ear Press.</w:t>
      </w:r>
    </w:p>
    <w:p w14:paraId="74501AB0" w14:textId="77777777" w:rsidR="00142FB0" w:rsidRPr="00014B50" w:rsidRDefault="00142FB0" w:rsidP="00142FB0">
      <w:pPr>
        <w:ind w:left="284" w:hanging="284"/>
        <w:rPr>
          <w:color w:val="auto"/>
          <w:szCs w:val="24"/>
        </w:rPr>
      </w:pPr>
      <w:r w:rsidRPr="00014B50">
        <w:rPr>
          <w:color w:val="auto"/>
          <w:szCs w:val="24"/>
        </w:rPr>
        <w:t xml:space="preserve">Marshall, Y. 2006. “Houses and Domestication on the Northwest Coast.” In </w:t>
      </w:r>
      <w:r w:rsidRPr="00014B50">
        <w:rPr>
          <w:i/>
          <w:color w:val="auto"/>
          <w:szCs w:val="24"/>
        </w:rPr>
        <w:t>Household Archaeology on the Northwest Coast</w:t>
      </w:r>
      <w:r w:rsidRPr="00014B50">
        <w:rPr>
          <w:color w:val="auto"/>
          <w:szCs w:val="24"/>
        </w:rPr>
        <w:t xml:space="preserve">, edited by E.A. Sobel, D.A. Trieu </w:t>
      </w:r>
      <w:proofErr w:type="spellStart"/>
      <w:r w:rsidRPr="00014B50">
        <w:rPr>
          <w:color w:val="auto"/>
          <w:szCs w:val="24"/>
        </w:rPr>
        <w:t>Gahr</w:t>
      </w:r>
      <w:proofErr w:type="spellEnd"/>
      <w:r w:rsidRPr="00014B50">
        <w:rPr>
          <w:color w:val="auto"/>
          <w:szCs w:val="24"/>
        </w:rPr>
        <w:t>, and K.M. Ames, pp. 37-56. Ann Arbor</w:t>
      </w:r>
      <w:r w:rsidRPr="00014B50">
        <w:rPr>
          <w:i/>
          <w:color w:val="auto"/>
          <w:szCs w:val="24"/>
        </w:rPr>
        <w:t>:</w:t>
      </w:r>
      <w:r w:rsidRPr="00014B50">
        <w:rPr>
          <w:color w:val="auto"/>
          <w:szCs w:val="24"/>
        </w:rPr>
        <w:t xml:space="preserve"> International Monographs in Prehistory, Archaeological Series 16.</w:t>
      </w:r>
    </w:p>
    <w:p w14:paraId="401CC8A0" w14:textId="77777777" w:rsidR="00142FB0" w:rsidRPr="00014B50" w:rsidRDefault="00142FB0" w:rsidP="00142FB0">
      <w:pPr>
        <w:ind w:left="284" w:hanging="284"/>
        <w:rPr>
          <w:color w:val="auto"/>
          <w:szCs w:val="24"/>
        </w:rPr>
      </w:pPr>
      <w:proofErr w:type="gramStart"/>
      <w:r w:rsidRPr="00014B50">
        <w:rPr>
          <w:color w:val="auto"/>
          <w:szCs w:val="24"/>
        </w:rPr>
        <w:t>Martindale, A. 2006.</w:t>
      </w:r>
      <w:proofErr w:type="gramEnd"/>
      <w:r w:rsidRPr="00014B50">
        <w:rPr>
          <w:color w:val="auto"/>
          <w:szCs w:val="24"/>
        </w:rPr>
        <w:t xml:space="preserve"> “Methodological Issues in the Use of Tsimshian Oral Traditions (</w:t>
      </w:r>
      <w:proofErr w:type="spellStart"/>
      <w:r w:rsidRPr="00014B50">
        <w:rPr>
          <w:i/>
          <w:color w:val="auto"/>
          <w:szCs w:val="24"/>
        </w:rPr>
        <w:t>Adawx</w:t>
      </w:r>
      <w:proofErr w:type="spellEnd"/>
      <w:r w:rsidRPr="00014B50">
        <w:rPr>
          <w:color w:val="auto"/>
          <w:szCs w:val="24"/>
        </w:rPr>
        <w:t xml:space="preserve">) in Archaeology.” </w:t>
      </w:r>
      <w:r w:rsidRPr="00014B50">
        <w:rPr>
          <w:i/>
          <w:color w:val="auto"/>
          <w:szCs w:val="24"/>
        </w:rPr>
        <w:t xml:space="preserve">Canadian Journal of Archaeology </w:t>
      </w:r>
      <w:r w:rsidRPr="00014B50">
        <w:rPr>
          <w:color w:val="auto"/>
          <w:szCs w:val="24"/>
        </w:rPr>
        <w:t>30: 158-192.</w:t>
      </w:r>
    </w:p>
    <w:p w14:paraId="2B49712D" w14:textId="77777777" w:rsidR="00142FB0" w:rsidRPr="00014B50" w:rsidRDefault="00142FB0" w:rsidP="00142FB0">
      <w:pPr>
        <w:ind w:left="284" w:hanging="284"/>
        <w:rPr>
          <w:color w:val="auto"/>
          <w:szCs w:val="24"/>
          <w:highlight w:val="yellow"/>
        </w:rPr>
      </w:pPr>
      <w:r w:rsidRPr="00014B50">
        <w:rPr>
          <w:color w:val="auto"/>
          <w:szCs w:val="24"/>
        </w:rPr>
        <w:t xml:space="preserve">Martindale, A., and B. </w:t>
      </w:r>
      <w:proofErr w:type="spellStart"/>
      <w:r w:rsidRPr="00014B50">
        <w:rPr>
          <w:color w:val="auto"/>
          <w:szCs w:val="24"/>
        </w:rPr>
        <w:t>Letham</w:t>
      </w:r>
      <w:proofErr w:type="spellEnd"/>
      <w:r w:rsidRPr="00014B50">
        <w:rPr>
          <w:color w:val="auto"/>
          <w:szCs w:val="24"/>
        </w:rPr>
        <w:t xml:space="preserve">. 2011. “Causalities and Models within the Archaeological Construction of Political Order on the Northwest Coast of North America.” In </w:t>
      </w:r>
      <w:r w:rsidRPr="00014B50">
        <w:rPr>
          <w:i/>
          <w:color w:val="auto"/>
          <w:szCs w:val="24"/>
        </w:rPr>
        <w:t>The Archaeology of Politics: the Materiality of Political Practice and Action in the Past</w:t>
      </w:r>
      <w:r w:rsidRPr="00014B50">
        <w:rPr>
          <w:color w:val="auto"/>
          <w:szCs w:val="24"/>
        </w:rPr>
        <w:t>, edited by P.G. Johansen and A.M. Bauer, pp. 323–353. Newcastle, UK: Cambridge Scholars Press.</w:t>
      </w:r>
    </w:p>
    <w:p w14:paraId="3B879707" w14:textId="503971AC" w:rsidR="00142FB0" w:rsidRPr="00014B50" w:rsidRDefault="00142FB0" w:rsidP="00142FB0">
      <w:pPr>
        <w:ind w:left="284" w:hanging="284"/>
        <w:rPr>
          <w:color w:val="auto"/>
          <w:szCs w:val="24"/>
        </w:rPr>
      </w:pPr>
      <w:r w:rsidRPr="00914EBD">
        <w:rPr>
          <w:color w:val="auto"/>
          <w:szCs w:val="24"/>
        </w:rPr>
        <w:t xml:space="preserve">Martindale, A., B. </w:t>
      </w:r>
      <w:proofErr w:type="spellStart"/>
      <w:r w:rsidRPr="00914EBD">
        <w:rPr>
          <w:color w:val="auto"/>
          <w:szCs w:val="24"/>
        </w:rPr>
        <w:t>Letham</w:t>
      </w:r>
      <w:proofErr w:type="spellEnd"/>
      <w:r w:rsidRPr="00914EBD">
        <w:rPr>
          <w:color w:val="auto"/>
          <w:szCs w:val="24"/>
        </w:rPr>
        <w:t xml:space="preserve">, N. Brewster, and A. </w:t>
      </w:r>
      <w:proofErr w:type="spellStart"/>
      <w:r w:rsidRPr="00914EBD">
        <w:rPr>
          <w:color w:val="auto"/>
          <w:szCs w:val="24"/>
        </w:rPr>
        <w:t>Ruggles</w:t>
      </w:r>
      <w:proofErr w:type="spellEnd"/>
      <w:r w:rsidRPr="00914EBD">
        <w:rPr>
          <w:color w:val="auto"/>
          <w:szCs w:val="24"/>
        </w:rPr>
        <w:t xml:space="preserve">. 2010. </w:t>
      </w:r>
      <w:r w:rsidR="00914EBD" w:rsidRPr="00914EBD">
        <w:rPr>
          <w:color w:val="auto"/>
          <w:szCs w:val="24"/>
        </w:rPr>
        <w:t>“</w:t>
      </w:r>
      <w:r w:rsidRPr="00914EBD">
        <w:rPr>
          <w:iCs/>
          <w:color w:val="auto"/>
          <w:szCs w:val="24"/>
        </w:rPr>
        <w:t>The Dundas Island Project</w:t>
      </w:r>
      <w:r w:rsidR="00914EBD" w:rsidRPr="00914EBD">
        <w:rPr>
          <w:iCs/>
          <w:color w:val="auto"/>
          <w:szCs w:val="24"/>
        </w:rPr>
        <w:t>”</w:t>
      </w:r>
      <w:r w:rsidRPr="00914EBD">
        <w:rPr>
          <w:iCs/>
          <w:color w:val="auto"/>
          <w:szCs w:val="24"/>
        </w:rPr>
        <w:t xml:space="preserve"> </w:t>
      </w:r>
      <w:r w:rsidR="00914EBD" w:rsidRPr="00914EBD">
        <w:rPr>
          <w:iCs/>
          <w:color w:val="auto"/>
          <w:szCs w:val="24"/>
        </w:rPr>
        <w:t xml:space="preserve">Unpublished </w:t>
      </w:r>
      <w:r w:rsidRPr="00914EBD">
        <w:rPr>
          <w:iCs/>
          <w:color w:val="auto"/>
          <w:szCs w:val="24"/>
        </w:rPr>
        <w:t xml:space="preserve">Permit </w:t>
      </w:r>
      <w:r w:rsidR="00914EBD" w:rsidRPr="00914EBD">
        <w:rPr>
          <w:iCs/>
          <w:color w:val="auto"/>
          <w:szCs w:val="24"/>
        </w:rPr>
        <w:t xml:space="preserve">Report </w:t>
      </w:r>
      <w:r w:rsidRPr="00914EBD">
        <w:rPr>
          <w:iCs/>
          <w:color w:val="auto"/>
          <w:szCs w:val="24"/>
        </w:rPr>
        <w:t>2005-159</w:t>
      </w:r>
      <w:r w:rsidRPr="00914EBD">
        <w:rPr>
          <w:color w:val="auto"/>
          <w:szCs w:val="24"/>
        </w:rPr>
        <w:t>. Victoria, BC: Archaeology Branch, British Columbia Ministry of Sustainable Resource Development, Registries and Resource Information Division.</w:t>
      </w:r>
    </w:p>
    <w:p w14:paraId="5BB9AC8D" w14:textId="77777777" w:rsidR="00142FB0" w:rsidRPr="00014B50" w:rsidRDefault="00142FB0" w:rsidP="00142FB0">
      <w:pPr>
        <w:ind w:left="284" w:hanging="284"/>
        <w:rPr>
          <w:color w:val="auto"/>
          <w:szCs w:val="24"/>
        </w:rPr>
      </w:pPr>
      <w:r w:rsidRPr="00014B50">
        <w:rPr>
          <w:color w:val="auto"/>
          <w:szCs w:val="24"/>
        </w:rPr>
        <w:t xml:space="preserve">Martindale, A., B. </w:t>
      </w:r>
      <w:proofErr w:type="spellStart"/>
      <w:r w:rsidRPr="00014B50">
        <w:rPr>
          <w:color w:val="auto"/>
          <w:szCs w:val="24"/>
        </w:rPr>
        <w:t>Letham</w:t>
      </w:r>
      <w:proofErr w:type="spellEnd"/>
      <w:r w:rsidRPr="00014B50">
        <w:rPr>
          <w:color w:val="auto"/>
          <w:szCs w:val="24"/>
        </w:rPr>
        <w:t xml:space="preserve">, D. McLaren, D. Archer, M. </w:t>
      </w:r>
      <w:proofErr w:type="spellStart"/>
      <w:r w:rsidRPr="00014B50">
        <w:rPr>
          <w:color w:val="auto"/>
          <w:szCs w:val="24"/>
        </w:rPr>
        <w:t>Burchell</w:t>
      </w:r>
      <w:proofErr w:type="spellEnd"/>
      <w:r w:rsidRPr="00014B50">
        <w:rPr>
          <w:color w:val="auto"/>
          <w:szCs w:val="24"/>
        </w:rPr>
        <w:t xml:space="preserve">, and B. </w:t>
      </w:r>
      <w:proofErr w:type="spellStart"/>
      <w:r w:rsidRPr="00014B50">
        <w:rPr>
          <w:color w:val="auto"/>
          <w:szCs w:val="24"/>
        </w:rPr>
        <w:t>Schöne</w:t>
      </w:r>
      <w:proofErr w:type="spellEnd"/>
      <w:r w:rsidRPr="00014B50">
        <w:rPr>
          <w:color w:val="auto"/>
          <w:szCs w:val="24"/>
        </w:rPr>
        <w:t xml:space="preserve">. 2009. “Mapping of Subsurface Shell Midden Components through Percussion Coring: Examples from the Dundas Islands.” </w:t>
      </w:r>
      <w:r w:rsidRPr="00014B50">
        <w:rPr>
          <w:i/>
          <w:color w:val="auto"/>
          <w:szCs w:val="24"/>
        </w:rPr>
        <w:t>Journal of Archaeological Science</w:t>
      </w:r>
      <w:r w:rsidRPr="00014B50">
        <w:rPr>
          <w:color w:val="auto"/>
          <w:szCs w:val="24"/>
        </w:rPr>
        <w:t xml:space="preserve"> 36:1565-1575.</w:t>
      </w:r>
    </w:p>
    <w:p w14:paraId="7D1D8239" w14:textId="77777777" w:rsidR="00142FB0" w:rsidRPr="00014B50" w:rsidRDefault="00142FB0" w:rsidP="00142FB0">
      <w:pPr>
        <w:ind w:left="284" w:hanging="284"/>
        <w:rPr>
          <w:color w:val="auto"/>
          <w:szCs w:val="24"/>
        </w:rPr>
      </w:pPr>
      <w:r w:rsidRPr="00014B50">
        <w:rPr>
          <w:color w:val="auto"/>
          <w:szCs w:val="24"/>
        </w:rPr>
        <w:t xml:space="preserve">Martindale, A. and S. Marsden. 2003. “Defining the Middle Period (3500 BP-1500 BP) in Tsimshian History through a Comparison of Archaeological and Oral Records.” </w:t>
      </w:r>
      <w:r w:rsidRPr="00014B50">
        <w:rPr>
          <w:i/>
          <w:color w:val="auto"/>
          <w:szCs w:val="24"/>
        </w:rPr>
        <w:t>BC Studies</w:t>
      </w:r>
      <w:r w:rsidRPr="00014B50">
        <w:rPr>
          <w:color w:val="auto"/>
          <w:szCs w:val="24"/>
        </w:rPr>
        <w:t xml:space="preserve"> 138:13-50.</w:t>
      </w:r>
    </w:p>
    <w:p w14:paraId="7019BF36" w14:textId="77777777" w:rsidR="00142FB0" w:rsidRPr="00014B50" w:rsidRDefault="00142FB0" w:rsidP="00142FB0">
      <w:pPr>
        <w:ind w:left="284" w:hanging="284"/>
        <w:rPr>
          <w:color w:val="auto"/>
          <w:szCs w:val="24"/>
        </w:rPr>
      </w:pPr>
      <w:r w:rsidRPr="00014B50">
        <w:rPr>
          <w:color w:val="auto"/>
          <w:szCs w:val="24"/>
        </w:rPr>
        <w:t>Martindale, A. and G. Nicholas. 2014. “Archaeology as Federated Knowledge.” </w:t>
      </w:r>
      <w:proofErr w:type="gramStart"/>
      <w:r w:rsidRPr="00014B50">
        <w:rPr>
          <w:i/>
          <w:iCs/>
          <w:color w:val="auto"/>
          <w:szCs w:val="24"/>
        </w:rPr>
        <w:t>Canadian Journal of Archaeology.</w:t>
      </w:r>
      <w:proofErr w:type="gramEnd"/>
      <w:r w:rsidRPr="00014B50">
        <w:rPr>
          <w:color w:val="auto"/>
          <w:szCs w:val="24"/>
        </w:rPr>
        <w:t> 38(2):434-465.</w:t>
      </w:r>
    </w:p>
    <w:p w14:paraId="1A629D13" w14:textId="63866DA7" w:rsidR="00142FB0" w:rsidRPr="00014B50" w:rsidRDefault="00142FB0" w:rsidP="00142FB0">
      <w:pPr>
        <w:ind w:left="284" w:hanging="284"/>
        <w:rPr>
          <w:color w:val="auto"/>
          <w:szCs w:val="24"/>
        </w:rPr>
      </w:pPr>
      <w:r w:rsidRPr="00014B50">
        <w:rPr>
          <w:color w:val="auto"/>
          <w:szCs w:val="24"/>
        </w:rPr>
        <w:t xml:space="preserve">Maschner, H.D.G. 1997. “Settlement and Subsistence in the Later Prehistory of </w:t>
      </w:r>
      <w:proofErr w:type="spellStart"/>
      <w:r w:rsidRPr="00014B50">
        <w:rPr>
          <w:color w:val="auto"/>
          <w:szCs w:val="24"/>
        </w:rPr>
        <w:t>Tebenkof</w:t>
      </w:r>
      <w:proofErr w:type="spellEnd"/>
      <w:r w:rsidRPr="00014B50">
        <w:rPr>
          <w:color w:val="auto"/>
          <w:szCs w:val="24"/>
        </w:rPr>
        <w:t xml:space="preserve"> Bay, </w:t>
      </w:r>
      <w:proofErr w:type="spellStart"/>
      <w:r w:rsidRPr="00014B50">
        <w:rPr>
          <w:color w:val="auto"/>
          <w:szCs w:val="24"/>
        </w:rPr>
        <w:t>Kuiu</w:t>
      </w:r>
      <w:proofErr w:type="spellEnd"/>
      <w:r w:rsidRPr="00014B50">
        <w:rPr>
          <w:color w:val="auto"/>
          <w:szCs w:val="24"/>
        </w:rPr>
        <w:t xml:space="preserve"> Island, Southeast Alaska.” </w:t>
      </w:r>
      <w:r w:rsidRPr="00014B50">
        <w:rPr>
          <w:i/>
          <w:color w:val="auto"/>
          <w:szCs w:val="24"/>
        </w:rPr>
        <w:t xml:space="preserve">Arctic Anthropology </w:t>
      </w:r>
      <w:r w:rsidRPr="00014B50">
        <w:rPr>
          <w:color w:val="auto"/>
          <w:szCs w:val="24"/>
        </w:rPr>
        <w:t>34(2):74-99.</w:t>
      </w:r>
    </w:p>
    <w:p w14:paraId="670A99F8" w14:textId="3CFFDECA" w:rsidR="00142FB0" w:rsidRPr="00914EBD" w:rsidRDefault="00142FB0" w:rsidP="00142FB0">
      <w:pPr>
        <w:ind w:left="284" w:hanging="284"/>
        <w:rPr>
          <w:color w:val="auto"/>
          <w:szCs w:val="24"/>
        </w:rPr>
      </w:pPr>
      <w:r w:rsidRPr="00914EBD">
        <w:rPr>
          <w:color w:val="auto"/>
          <w:szCs w:val="24"/>
        </w:rPr>
        <w:t xml:space="preserve">McKechnie, I. 2013. </w:t>
      </w:r>
      <w:proofErr w:type="gramStart"/>
      <w:r w:rsidR="00914EBD" w:rsidRPr="00914EBD">
        <w:rPr>
          <w:color w:val="auto"/>
          <w:szCs w:val="24"/>
        </w:rPr>
        <w:t>“</w:t>
      </w:r>
      <w:r w:rsidRPr="00914EBD">
        <w:rPr>
          <w:color w:val="auto"/>
          <w:szCs w:val="24"/>
        </w:rPr>
        <w:t>An Archaeology</w:t>
      </w:r>
      <w:proofErr w:type="gramEnd"/>
      <w:r w:rsidRPr="00914EBD">
        <w:rPr>
          <w:color w:val="auto"/>
          <w:szCs w:val="24"/>
        </w:rPr>
        <w:t xml:space="preserve"> of Food and Settlement on the Northwest Coast.</w:t>
      </w:r>
      <w:r w:rsidR="00914EBD" w:rsidRPr="00914EBD">
        <w:rPr>
          <w:color w:val="auto"/>
          <w:szCs w:val="24"/>
        </w:rPr>
        <w:t>”</w:t>
      </w:r>
      <w:r w:rsidRPr="00914EBD">
        <w:rPr>
          <w:color w:val="auto"/>
          <w:szCs w:val="24"/>
        </w:rPr>
        <w:t xml:space="preserve"> </w:t>
      </w:r>
      <w:proofErr w:type="gramStart"/>
      <w:r w:rsidRPr="00914EBD">
        <w:rPr>
          <w:color w:val="auto"/>
          <w:szCs w:val="24"/>
        </w:rPr>
        <w:t xml:space="preserve">PhD </w:t>
      </w:r>
      <w:r w:rsidR="00914EBD" w:rsidRPr="00914EBD">
        <w:rPr>
          <w:color w:val="auto"/>
          <w:szCs w:val="24"/>
        </w:rPr>
        <w:t>D</w:t>
      </w:r>
      <w:r w:rsidRPr="00914EBD">
        <w:rPr>
          <w:color w:val="auto"/>
          <w:szCs w:val="24"/>
        </w:rPr>
        <w:t>issertation</w:t>
      </w:r>
      <w:r w:rsidR="00C45BF6" w:rsidRPr="00914EBD">
        <w:rPr>
          <w:color w:val="auto"/>
          <w:szCs w:val="24"/>
        </w:rPr>
        <w:t>.</w:t>
      </w:r>
      <w:proofErr w:type="gramEnd"/>
      <w:r w:rsidRPr="00914EBD">
        <w:rPr>
          <w:color w:val="auto"/>
          <w:szCs w:val="24"/>
        </w:rPr>
        <w:t xml:space="preserve"> </w:t>
      </w:r>
      <w:proofErr w:type="gramStart"/>
      <w:r w:rsidRPr="00914EBD">
        <w:rPr>
          <w:color w:val="auto"/>
          <w:szCs w:val="24"/>
        </w:rPr>
        <w:t>University of British Columbia.</w:t>
      </w:r>
      <w:proofErr w:type="gramEnd"/>
    </w:p>
    <w:p w14:paraId="1CC1A765" w14:textId="3F12D050" w:rsidR="00142FB0" w:rsidRDefault="00142FB0" w:rsidP="00142FB0">
      <w:pPr>
        <w:ind w:left="284" w:hanging="284"/>
        <w:rPr>
          <w:color w:val="auto"/>
          <w:szCs w:val="24"/>
        </w:rPr>
      </w:pPr>
      <w:r w:rsidRPr="00914EBD">
        <w:rPr>
          <w:color w:val="auto"/>
          <w:szCs w:val="24"/>
        </w:rPr>
        <w:t xml:space="preserve">McLaren, D. 2008. </w:t>
      </w:r>
      <w:proofErr w:type="gramStart"/>
      <w:r w:rsidR="00914EBD" w:rsidRPr="00914EBD">
        <w:rPr>
          <w:color w:val="auto"/>
          <w:szCs w:val="24"/>
        </w:rPr>
        <w:t>“</w:t>
      </w:r>
      <w:r w:rsidRPr="00914EBD">
        <w:rPr>
          <w:color w:val="auto"/>
          <w:szCs w:val="24"/>
        </w:rPr>
        <w:t>Sea Level Change and Archaeological Site Locations on the Dundas Island Archipelago of North Coastal British Columbia.</w:t>
      </w:r>
      <w:r w:rsidR="00914EBD" w:rsidRPr="00914EBD">
        <w:rPr>
          <w:color w:val="auto"/>
          <w:szCs w:val="24"/>
        </w:rPr>
        <w:t>”</w:t>
      </w:r>
      <w:proofErr w:type="gramEnd"/>
      <w:r w:rsidRPr="00914EBD">
        <w:rPr>
          <w:color w:val="auto"/>
          <w:szCs w:val="24"/>
        </w:rPr>
        <w:t xml:space="preserve"> </w:t>
      </w:r>
      <w:proofErr w:type="gramStart"/>
      <w:r w:rsidRPr="00914EBD">
        <w:rPr>
          <w:color w:val="auto"/>
          <w:szCs w:val="24"/>
        </w:rPr>
        <w:t xml:space="preserve">PhD </w:t>
      </w:r>
      <w:r w:rsidR="00914EBD" w:rsidRPr="00914EBD">
        <w:rPr>
          <w:color w:val="auto"/>
          <w:szCs w:val="24"/>
        </w:rPr>
        <w:t>D</w:t>
      </w:r>
      <w:r w:rsidRPr="00914EBD">
        <w:rPr>
          <w:color w:val="auto"/>
          <w:szCs w:val="24"/>
        </w:rPr>
        <w:t>issertation.</w:t>
      </w:r>
      <w:proofErr w:type="gramEnd"/>
      <w:r w:rsidRPr="00914EBD">
        <w:rPr>
          <w:color w:val="auto"/>
          <w:szCs w:val="24"/>
        </w:rPr>
        <w:t xml:space="preserve"> </w:t>
      </w:r>
      <w:proofErr w:type="gramStart"/>
      <w:r w:rsidRPr="00914EBD">
        <w:rPr>
          <w:color w:val="auto"/>
          <w:szCs w:val="24"/>
        </w:rPr>
        <w:t>University of Victoria.</w:t>
      </w:r>
      <w:proofErr w:type="gramEnd"/>
    </w:p>
    <w:p w14:paraId="3FED1426" w14:textId="2FBCC836" w:rsidR="00421A03" w:rsidRPr="00421A03" w:rsidRDefault="00421A03" w:rsidP="00421A03">
      <w:pPr>
        <w:ind w:left="284" w:hanging="284"/>
        <w:rPr>
          <w:color w:val="auto"/>
          <w:szCs w:val="24"/>
          <w:lang w:val="en-CA"/>
        </w:rPr>
      </w:pPr>
      <w:r w:rsidRPr="00421A03">
        <w:rPr>
          <w:color w:val="auto"/>
          <w:szCs w:val="24"/>
          <w:lang w:val="en-CA"/>
        </w:rPr>
        <w:t xml:space="preserve">McLaren, </w:t>
      </w:r>
      <w:r>
        <w:rPr>
          <w:color w:val="auto"/>
          <w:szCs w:val="24"/>
          <w:lang w:val="en-CA"/>
        </w:rPr>
        <w:t>D.</w:t>
      </w:r>
      <w:r w:rsidRPr="00421A03">
        <w:rPr>
          <w:color w:val="auto"/>
          <w:szCs w:val="24"/>
          <w:lang w:val="en-CA"/>
        </w:rPr>
        <w:t xml:space="preserve">, </w:t>
      </w:r>
      <w:r>
        <w:rPr>
          <w:color w:val="auto"/>
          <w:szCs w:val="24"/>
          <w:lang w:val="en-CA"/>
        </w:rPr>
        <w:t>D.W.</w:t>
      </w:r>
      <w:r w:rsidRPr="00421A03">
        <w:rPr>
          <w:color w:val="auto"/>
          <w:szCs w:val="24"/>
          <w:lang w:val="en-CA"/>
        </w:rPr>
        <w:t xml:space="preserve"> Fedje, </w:t>
      </w:r>
      <w:r>
        <w:rPr>
          <w:color w:val="auto"/>
          <w:szCs w:val="24"/>
          <w:lang w:val="en-CA"/>
        </w:rPr>
        <w:t>M.</w:t>
      </w:r>
      <w:r w:rsidRPr="00421A03">
        <w:rPr>
          <w:color w:val="auto"/>
          <w:szCs w:val="24"/>
          <w:lang w:val="en-CA"/>
        </w:rPr>
        <w:t xml:space="preserve"> B. Hay, </w:t>
      </w:r>
      <w:r>
        <w:rPr>
          <w:color w:val="auto"/>
          <w:szCs w:val="24"/>
          <w:lang w:val="en-CA"/>
        </w:rPr>
        <w:t>Q.</w:t>
      </w:r>
      <w:r w:rsidRPr="00421A03">
        <w:rPr>
          <w:color w:val="auto"/>
          <w:szCs w:val="24"/>
          <w:lang w:val="en-CA"/>
        </w:rPr>
        <w:t xml:space="preserve"> Mackie, </w:t>
      </w:r>
      <w:r>
        <w:rPr>
          <w:color w:val="auto"/>
          <w:szCs w:val="24"/>
          <w:lang w:val="en-CA"/>
        </w:rPr>
        <w:t>I.</w:t>
      </w:r>
      <w:r w:rsidRPr="00421A03">
        <w:rPr>
          <w:color w:val="auto"/>
          <w:szCs w:val="24"/>
          <w:lang w:val="en-CA"/>
        </w:rPr>
        <w:t xml:space="preserve"> J. Walker, </w:t>
      </w:r>
      <w:r>
        <w:rPr>
          <w:color w:val="auto"/>
          <w:szCs w:val="24"/>
          <w:lang w:val="en-CA"/>
        </w:rPr>
        <w:t>D.</w:t>
      </w:r>
      <w:r w:rsidRPr="00421A03">
        <w:rPr>
          <w:color w:val="auto"/>
          <w:szCs w:val="24"/>
          <w:lang w:val="en-CA"/>
        </w:rPr>
        <w:t xml:space="preserve"> H. </w:t>
      </w:r>
      <w:proofErr w:type="spellStart"/>
      <w:r w:rsidRPr="00421A03">
        <w:rPr>
          <w:color w:val="auto"/>
          <w:szCs w:val="24"/>
          <w:lang w:val="en-CA"/>
        </w:rPr>
        <w:t>Shugar</w:t>
      </w:r>
      <w:proofErr w:type="spellEnd"/>
      <w:r w:rsidRPr="00421A03">
        <w:rPr>
          <w:color w:val="auto"/>
          <w:szCs w:val="24"/>
          <w:lang w:val="en-CA"/>
        </w:rPr>
        <w:t xml:space="preserve">, </w:t>
      </w:r>
      <w:r>
        <w:rPr>
          <w:color w:val="auto"/>
          <w:szCs w:val="24"/>
          <w:lang w:val="en-CA"/>
        </w:rPr>
        <w:t>J.</w:t>
      </w:r>
      <w:r w:rsidRPr="00421A03">
        <w:rPr>
          <w:color w:val="auto"/>
          <w:szCs w:val="24"/>
          <w:lang w:val="en-CA"/>
        </w:rPr>
        <w:t xml:space="preserve"> B.R. </w:t>
      </w:r>
      <w:proofErr w:type="spellStart"/>
      <w:r w:rsidRPr="00421A03">
        <w:rPr>
          <w:color w:val="auto"/>
          <w:szCs w:val="24"/>
          <w:lang w:val="en-CA"/>
        </w:rPr>
        <w:t>Eamer</w:t>
      </w:r>
      <w:proofErr w:type="spellEnd"/>
      <w:r w:rsidRPr="00421A03">
        <w:rPr>
          <w:color w:val="auto"/>
          <w:szCs w:val="24"/>
          <w:lang w:val="en-CA"/>
        </w:rPr>
        <w:t xml:space="preserve">, </w:t>
      </w:r>
      <w:r>
        <w:rPr>
          <w:color w:val="auto"/>
          <w:szCs w:val="24"/>
          <w:lang w:val="en-CA"/>
        </w:rPr>
        <w:t>O.</w:t>
      </w:r>
      <w:r w:rsidRPr="00421A03">
        <w:rPr>
          <w:color w:val="auto"/>
          <w:szCs w:val="24"/>
          <w:lang w:val="en-CA"/>
        </w:rPr>
        <w:t xml:space="preserve"> B. </w:t>
      </w:r>
      <w:proofErr w:type="spellStart"/>
      <w:r w:rsidRPr="00421A03">
        <w:rPr>
          <w:color w:val="auto"/>
          <w:szCs w:val="24"/>
          <w:lang w:val="en-CA"/>
        </w:rPr>
        <w:t>Lian</w:t>
      </w:r>
      <w:proofErr w:type="spellEnd"/>
      <w:r w:rsidRPr="00421A03">
        <w:rPr>
          <w:color w:val="auto"/>
          <w:szCs w:val="24"/>
          <w:lang w:val="en-CA"/>
        </w:rPr>
        <w:t xml:space="preserve">, </w:t>
      </w:r>
      <w:r>
        <w:rPr>
          <w:color w:val="auto"/>
          <w:szCs w:val="24"/>
          <w:lang w:val="en-CA"/>
        </w:rPr>
        <w:t>and C.</w:t>
      </w:r>
      <w:r w:rsidRPr="00421A03">
        <w:rPr>
          <w:color w:val="auto"/>
          <w:szCs w:val="24"/>
          <w:lang w:val="en-CA"/>
        </w:rPr>
        <w:t xml:space="preserve"> </w:t>
      </w:r>
      <w:proofErr w:type="spellStart"/>
      <w:r w:rsidRPr="00421A03">
        <w:rPr>
          <w:color w:val="auto"/>
          <w:szCs w:val="24"/>
          <w:lang w:val="en-CA"/>
        </w:rPr>
        <w:t>Neudorf</w:t>
      </w:r>
      <w:proofErr w:type="spellEnd"/>
      <w:r>
        <w:rPr>
          <w:color w:val="auto"/>
          <w:szCs w:val="24"/>
          <w:lang w:val="en-CA"/>
        </w:rPr>
        <w:t xml:space="preserve">. </w:t>
      </w:r>
      <w:r w:rsidRPr="00421A03">
        <w:rPr>
          <w:color w:val="auto"/>
          <w:szCs w:val="24"/>
          <w:lang w:val="en-CA"/>
        </w:rPr>
        <w:t>2014</w:t>
      </w:r>
      <w:r>
        <w:rPr>
          <w:color w:val="auto"/>
          <w:szCs w:val="24"/>
          <w:lang w:val="en-CA"/>
        </w:rPr>
        <w:t>. “</w:t>
      </w:r>
      <w:r w:rsidRPr="00421A03">
        <w:rPr>
          <w:color w:val="auto"/>
          <w:szCs w:val="24"/>
          <w:lang w:val="en-CA"/>
        </w:rPr>
        <w:t xml:space="preserve">A </w:t>
      </w:r>
      <w:r w:rsidR="00C619E5">
        <w:rPr>
          <w:color w:val="auto"/>
          <w:szCs w:val="24"/>
          <w:lang w:val="en-CA"/>
        </w:rPr>
        <w:t>P</w:t>
      </w:r>
      <w:r w:rsidRPr="00421A03">
        <w:rPr>
          <w:color w:val="auto"/>
          <w:szCs w:val="24"/>
          <w:lang w:val="en-CA"/>
        </w:rPr>
        <w:t xml:space="preserve">ost-glacial </w:t>
      </w:r>
      <w:r w:rsidR="00C619E5">
        <w:rPr>
          <w:color w:val="auto"/>
          <w:szCs w:val="24"/>
          <w:lang w:val="en-CA"/>
        </w:rPr>
        <w:t>S</w:t>
      </w:r>
      <w:r w:rsidRPr="00421A03">
        <w:rPr>
          <w:color w:val="auto"/>
          <w:szCs w:val="24"/>
          <w:lang w:val="en-CA"/>
        </w:rPr>
        <w:t xml:space="preserve">ea </w:t>
      </w:r>
      <w:r w:rsidR="00C619E5">
        <w:rPr>
          <w:color w:val="auto"/>
          <w:szCs w:val="24"/>
          <w:lang w:val="en-CA"/>
        </w:rPr>
        <w:t>L</w:t>
      </w:r>
      <w:r w:rsidRPr="00421A03">
        <w:rPr>
          <w:color w:val="auto"/>
          <w:szCs w:val="24"/>
          <w:lang w:val="en-CA"/>
        </w:rPr>
        <w:t xml:space="preserve">evel </w:t>
      </w:r>
      <w:r w:rsidR="00C619E5">
        <w:rPr>
          <w:color w:val="auto"/>
          <w:szCs w:val="24"/>
          <w:lang w:val="en-CA"/>
        </w:rPr>
        <w:t>H</w:t>
      </w:r>
      <w:r w:rsidRPr="00421A03">
        <w:rPr>
          <w:color w:val="auto"/>
          <w:szCs w:val="24"/>
          <w:lang w:val="en-CA"/>
        </w:rPr>
        <w:t xml:space="preserve">inge on the </w:t>
      </w:r>
      <w:r w:rsidR="00C619E5">
        <w:rPr>
          <w:color w:val="auto"/>
          <w:szCs w:val="24"/>
          <w:lang w:val="en-CA"/>
        </w:rPr>
        <w:t>C</w:t>
      </w:r>
      <w:r w:rsidRPr="00421A03">
        <w:rPr>
          <w:color w:val="auto"/>
          <w:szCs w:val="24"/>
          <w:lang w:val="en-CA"/>
        </w:rPr>
        <w:t>entral Pacific Coast of Canada.</w:t>
      </w:r>
      <w:r>
        <w:rPr>
          <w:color w:val="auto"/>
          <w:szCs w:val="24"/>
          <w:lang w:val="en-CA"/>
        </w:rPr>
        <w:t>”</w:t>
      </w:r>
      <w:r w:rsidRPr="00421A03">
        <w:rPr>
          <w:color w:val="auto"/>
          <w:szCs w:val="24"/>
          <w:lang w:val="en-CA"/>
        </w:rPr>
        <w:t xml:space="preserve"> </w:t>
      </w:r>
      <w:r w:rsidRPr="00421A03">
        <w:rPr>
          <w:i/>
          <w:color w:val="auto"/>
          <w:szCs w:val="24"/>
          <w:lang w:val="en-CA"/>
        </w:rPr>
        <w:t xml:space="preserve">Quaternary Science Reviews </w:t>
      </w:r>
      <w:r w:rsidRPr="00421A03">
        <w:rPr>
          <w:color w:val="auto"/>
          <w:szCs w:val="24"/>
          <w:lang w:val="en-CA"/>
        </w:rPr>
        <w:t>97(1):148-169.</w:t>
      </w:r>
    </w:p>
    <w:p w14:paraId="4C3FA189" w14:textId="77777777" w:rsidR="00142FB0" w:rsidRDefault="00142FB0" w:rsidP="00142FB0">
      <w:pPr>
        <w:ind w:left="284" w:hanging="284"/>
        <w:rPr>
          <w:color w:val="auto"/>
          <w:szCs w:val="24"/>
        </w:rPr>
      </w:pPr>
      <w:r w:rsidRPr="00014B50">
        <w:rPr>
          <w:color w:val="auto"/>
          <w:szCs w:val="24"/>
        </w:rPr>
        <w:t xml:space="preserve">McLaren, D., A. Martindale, D.W. Fedje, and Q. Mackie. 2011. “Relict Shorelines and Shell Middens of the Dundas Island Archipelago.” </w:t>
      </w:r>
      <w:r w:rsidRPr="00014B50">
        <w:rPr>
          <w:i/>
          <w:color w:val="auto"/>
          <w:szCs w:val="24"/>
        </w:rPr>
        <w:t xml:space="preserve">Canadian Journal of Archaeology </w:t>
      </w:r>
      <w:r w:rsidRPr="00014B50">
        <w:rPr>
          <w:color w:val="auto"/>
          <w:szCs w:val="24"/>
        </w:rPr>
        <w:t>35:86-116.</w:t>
      </w:r>
    </w:p>
    <w:p w14:paraId="5A17CBF7" w14:textId="26970938" w:rsidR="00625044" w:rsidRPr="00914EBD" w:rsidRDefault="00625044" w:rsidP="00625044">
      <w:pPr>
        <w:ind w:left="284" w:hanging="284"/>
        <w:rPr>
          <w:color w:val="auto"/>
          <w:szCs w:val="24"/>
          <w:lang w:val="en-CA"/>
        </w:rPr>
      </w:pPr>
      <w:r w:rsidRPr="00914EBD">
        <w:rPr>
          <w:color w:val="auto"/>
          <w:szCs w:val="24"/>
          <w:lang w:val="en-CA"/>
        </w:rPr>
        <w:t xml:space="preserve">Mobley, </w:t>
      </w:r>
      <w:r>
        <w:rPr>
          <w:color w:val="auto"/>
          <w:szCs w:val="24"/>
          <w:lang w:val="en-CA"/>
        </w:rPr>
        <w:t>C.</w:t>
      </w:r>
      <w:r w:rsidRPr="00914EBD">
        <w:rPr>
          <w:color w:val="auto"/>
          <w:szCs w:val="24"/>
          <w:lang w:val="en-CA"/>
        </w:rPr>
        <w:t>M.</w:t>
      </w:r>
      <w:r>
        <w:rPr>
          <w:color w:val="auto"/>
          <w:szCs w:val="24"/>
          <w:lang w:val="en-CA"/>
        </w:rPr>
        <w:t xml:space="preserve"> </w:t>
      </w:r>
      <w:r w:rsidRPr="00914EBD">
        <w:rPr>
          <w:color w:val="auto"/>
          <w:szCs w:val="24"/>
          <w:lang w:val="en-CA"/>
        </w:rPr>
        <w:t>1988</w:t>
      </w:r>
      <w:r>
        <w:rPr>
          <w:color w:val="auto"/>
          <w:szCs w:val="24"/>
          <w:lang w:val="en-CA"/>
        </w:rPr>
        <w:t>. “</w:t>
      </w:r>
      <w:r w:rsidRPr="00914EBD">
        <w:rPr>
          <w:color w:val="auto"/>
          <w:szCs w:val="24"/>
          <w:lang w:val="en-CA"/>
        </w:rPr>
        <w:t>Holocene Sea Levels in Southeast Alaska: Preliminary Results.</w:t>
      </w:r>
      <w:r>
        <w:rPr>
          <w:color w:val="auto"/>
          <w:szCs w:val="24"/>
          <w:lang w:val="en-CA"/>
        </w:rPr>
        <w:t>”</w:t>
      </w:r>
      <w:r w:rsidRPr="00914EBD">
        <w:rPr>
          <w:color w:val="auto"/>
          <w:szCs w:val="24"/>
          <w:lang w:val="en-CA"/>
        </w:rPr>
        <w:t xml:space="preserve"> </w:t>
      </w:r>
      <w:r w:rsidRPr="00914EBD">
        <w:rPr>
          <w:i/>
          <w:color w:val="auto"/>
          <w:szCs w:val="24"/>
          <w:lang w:val="en-CA"/>
        </w:rPr>
        <w:t>Arctic</w:t>
      </w:r>
      <w:r w:rsidRPr="00914EBD">
        <w:rPr>
          <w:color w:val="auto"/>
          <w:szCs w:val="24"/>
          <w:lang w:val="en-CA"/>
        </w:rPr>
        <w:t xml:space="preserve"> 41(4):261-266.</w:t>
      </w:r>
    </w:p>
    <w:p w14:paraId="6CACC13B" w14:textId="0F6A1B66" w:rsidR="00625044" w:rsidRPr="00625044" w:rsidRDefault="00142FB0" w:rsidP="00142FB0">
      <w:pPr>
        <w:ind w:left="284" w:hanging="284"/>
        <w:rPr>
          <w:color w:val="auto"/>
          <w:szCs w:val="24"/>
        </w:rPr>
      </w:pPr>
      <w:r w:rsidRPr="00014B50">
        <w:rPr>
          <w:color w:val="auto"/>
          <w:szCs w:val="24"/>
        </w:rPr>
        <w:lastRenderedPageBreak/>
        <w:t xml:space="preserve">Moss, M. </w:t>
      </w:r>
      <w:r w:rsidR="00625044">
        <w:rPr>
          <w:color w:val="auto"/>
          <w:szCs w:val="24"/>
        </w:rPr>
        <w:t xml:space="preserve">1998. “Northern Northwest Coast Regional Overview.” </w:t>
      </w:r>
      <w:proofErr w:type="spellStart"/>
      <w:r w:rsidR="00625044">
        <w:rPr>
          <w:i/>
          <w:color w:val="auto"/>
          <w:szCs w:val="24"/>
        </w:rPr>
        <w:t>Arctjc</w:t>
      </w:r>
      <w:proofErr w:type="spellEnd"/>
      <w:r w:rsidR="00625044">
        <w:rPr>
          <w:i/>
          <w:color w:val="auto"/>
          <w:szCs w:val="24"/>
        </w:rPr>
        <w:t xml:space="preserve"> Anthropology</w:t>
      </w:r>
      <w:r w:rsidR="00625044">
        <w:rPr>
          <w:color w:val="auto"/>
          <w:szCs w:val="24"/>
        </w:rPr>
        <w:t xml:space="preserve"> 35(1):88-111.</w:t>
      </w:r>
    </w:p>
    <w:p w14:paraId="4024E86D" w14:textId="088737C9" w:rsidR="00142FB0" w:rsidRPr="00014B50" w:rsidRDefault="00625044" w:rsidP="00142FB0">
      <w:pPr>
        <w:ind w:left="284" w:hanging="284"/>
        <w:rPr>
          <w:color w:val="auto"/>
          <w:szCs w:val="24"/>
        </w:rPr>
      </w:pPr>
      <w:r w:rsidRPr="00014B50">
        <w:rPr>
          <w:color w:val="auto"/>
          <w:szCs w:val="24"/>
        </w:rPr>
        <w:t xml:space="preserve">—. </w:t>
      </w:r>
      <w:r w:rsidR="00142FB0" w:rsidRPr="00014B50">
        <w:rPr>
          <w:color w:val="auto"/>
          <w:szCs w:val="24"/>
        </w:rPr>
        <w:t xml:space="preserve">2011. </w:t>
      </w:r>
      <w:r w:rsidR="00142FB0" w:rsidRPr="00014B50">
        <w:rPr>
          <w:i/>
          <w:color w:val="auto"/>
          <w:szCs w:val="24"/>
        </w:rPr>
        <w:t>Northwest Coast: Archaeology as Deep History</w:t>
      </w:r>
      <w:r w:rsidR="00142FB0" w:rsidRPr="00014B50">
        <w:rPr>
          <w:color w:val="auto"/>
          <w:szCs w:val="24"/>
        </w:rPr>
        <w:t>. Washington, DC: SAA Press.</w:t>
      </w:r>
    </w:p>
    <w:p w14:paraId="62F56766" w14:textId="77777777" w:rsidR="00142FB0" w:rsidRDefault="00142FB0" w:rsidP="00142FB0">
      <w:pPr>
        <w:ind w:left="284" w:hanging="284"/>
        <w:rPr>
          <w:color w:val="auto"/>
          <w:szCs w:val="24"/>
        </w:rPr>
      </w:pPr>
      <w:r w:rsidRPr="00014B50">
        <w:rPr>
          <w:color w:val="auto"/>
          <w:szCs w:val="24"/>
        </w:rPr>
        <w:t xml:space="preserve">Moss, M., D. M. </w:t>
      </w:r>
      <w:proofErr w:type="spellStart"/>
      <w:r w:rsidRPr="00014B50">
        <w:rPr>
          <w:color w:val="auto"/>
          <w:szCs w:val="24"/>
        </w:rPr>
        <w:t>Peteet</w:t>
      </w:r>
      <w:proofErr w:type="spellEnd"/>
      <w:r w:rsidRPr="00014B50">
        <w:rPr>
          <w:color w:val="auto"/>
          <w:szCs w:val="24"/>
        </w:rPr>
        <w:t xml:space="preserve"> and C. Whitlock. 2007. “Mid-Holocene Culture and Climate on the Northwest Coast of North America</w:t>
      </w:r>
      <w:r w:rsidRPr="00014B50">
        <w:rPr>
          <w:i/>
          <w:iCs/>
          <w:color w:val="auto"/>
          <w:szCs w:val="24"/>
        </w:rPr>
        <w:t>.</w:t>
      </w:r>
      <w:r w:rsidRPr="00014B50">
        <w:rPr>
          <w:iCs/>
          <w:color w:val="auto"/>
          <w:szCs w:val="24"/>
        </w:rPr>
        <w:t>”</w:t>
      </w:r>
      <w:r w:rsidRPr="00014B50">
        <w:rPr>
          <w:color w:val="auto"/>
          <w:szCs w:val="24"/>
        </w:rPr>
        <w:t xml:space="preserve"> </w:t>
      </w:r>
      <w:r w:rsidRPr="00014B50">
        <w:rPr>
          <w:color w:val="auto"/>
          <w:szCs w:val="24"/>
          <w:u w:val="single"/>
        </w:rPr>
        <w:t>In</w:t>
      </w:r>
      <w:r w:rsidRPr="00014B50">
        <w:rPr>
          <w:color w:val="auto"/>
          <w:szCs w:val="24"/>
        </w:rPr>
        <w:t xml:space="preserve"> </w:t>
      </w:r>
      <w:r w:rsidRPr="00014B50">
        <w:rPr>
          <w:i/>
          <w:iCs/>
          <w:color w:val="auto"/>
          <w:szCs w:val="24"/>
        </w:rPr>
        <w:t>Climate Change and Cultural Dynamics: a Global Perspective on Mid-Holocene Transitions</w:t>
      </w:r>
      <w:r w:rsidRPr="00014B50">
        <w:rPr>
          <w:color w:val="auto"/>
          <w:szCs w:val="24"/>
        </w:rPr>
        <w:t xml:space="preserve">, edited by D. G. Anderson, K. A. </w:t>
      </w:r>
      <w:proofErr w:type="spellStart"/>
      <w:r w:rsidRPr="00014B50">
        <w:rPr>
          <w:color w:val="auto"/>
          <w:szCs w:val="24"/>
        </w:rPr>
        <w:t>Maasch</w:t>
      </w:r>
      <w:proofErr w:type="spellEnd"/>
      <w:r w:rsidRPr="00014B50">
        <w:rPr>
          <w:color w:val="auto"/>
          <w:szCs w:val="24"/>
        </w:rPr>
        <w:t xml:space="preserve"> and D. H. </w:t>
      </w:r>
      <w:proofErr w:type="spellStart"/>
      <w:r w:rsidRPr="00014B50">
        <w:rPr>
          <w:color w:val="auto"/>
          <w:szCs w:val="24"/>
        </w:rPr>
        <w:t>Sandweiss</w:t>
      </w:r>
      <w:proofErr w:type="spellEnd"/>
      <w:r w:rsidRPr="00014B50">
        <w:rPr>
          <w:color w:val="auto"/>
          <w:szCs w:val="24"/>
        </w:rPr>
        <w:t>, pp. 491–529. Amsterdam: Elsevier.</w:t>
      </w:r>
    </w:p>
    <w:p w14:paraId="7B8CB108" w14:textId="77777777" w:rsidR="00DD0CC0" w:rsidRPr="00014B50" w:rsidRDefault="00DD0CC0" w:rsidP="00142FB0">
      <w:pPr>
        <w:ind w:left="284" w:hanging="284"/>
        <w:rPr>
          <w:color w:val="auto"/>
          <w:szCs w:val="24"/>
        </w:rPr>
      </w:pPr>
      <w:r>
        <w:rPr>
          <w:color w:val="auto"/>
          <w:szCs w:val="24"/>
        </w:rPr>
        <w:t xml:space="preserve">Patton, K.A., T.J. Orchard, and D. </w:t>
      </w:r>
      <w:proofErr w:type="spellStart"/>
      <w:r>
        <w:rPr>
          <w:color w:val="auto"/>
          <w:szCs w:val="24"/>
        </w:rPr>
        <w:t>Bilton</w:t>
      </w:r>
      <w:proofErr w:type="spellEnd"/>
      <w:r>
        <w:rPr>
          <w:color w:val="auto"/>
          <w:szCs w:val="24"/>
        </w:rPr>
        <w:t>. 2012. “Reconciling Irreconcilable Differences: the Variable Importance of Fisheries and Shellfisheries on the Northwest Coast.” Paper presented at the 45</w:t>
      </w:r>
      <w:r w:rsidRPr="00DD0CC0">
        <w:rPr>
          <w:color w:val="auto"/>
          <w:szCs w:val="24"/>
          <w:vertAlign w:val="superscript"/>
        </w:rPr>
        <w:t>th</w:t>
      </w:r>
      <w:r>
        <w:rPr>
          <w:color w:val="auto"/>
          <w:szCs w:val="24"/>
        </w:rPr>
        <w:t xml:space="preserve"> Annual Canadian Archaeological Association Conference, May 2012, Montreal, Quebec.</w:t>
      </w:r>
    </w:p>
    <w:p w14:paraId="5F707F35" w14:textId="77777777" w:rsidR="00142FB0" w:rsidRPr="00014B50" w:rsidRDefault="00142FB0" w:rsidP="00142FB0">
      <w:pPr>
        <w:ind w:left="284" w:hanging="284"/>
        <w:rPr>
          <w:color w:val="auto"/>
          <w:szCs w:val="24"/>
        </w:rPr>
      </w:pPr>
      <w:proofErr w:type="spellStart"/>
      <w:r w:rsidRPr="00014B50">
        <w:rPr>
          <w:color w:val="auto"/>
          <w:szCs w:val="24"/>
        </w:rPr>
        <w:t>Peros</w:t>
      </w:r>
      <w:proofErr w:type="spellEnd"/>
      <w:r w:rsidRPr="00014B50">
        <w:rPr>
          <w:color w:val="auto"/>
          <w:szCs w:val="24"/>
        </w:rPr>
        <w:t xml:space="preserve">, M.C., S.E. Munoz, K </w:t>
      </w:r>
      <w:proofErr w:type="spellStart"/>
      <w:r w:rsidRPr="00014B50">
        <w:rPr>
          <w:color w:val="auto"/>
          <w:szCs w:val="24"/>
        </w:rPr>
        <w:t>Gajewski</w:t>
      </w:r>
      <w:proofErr w:type="spellEnd"/>
      <w:r w:rsidRPr="00014B50">
        <w:rPr>
          <w:color w:val="auto"/>
          <w:szCs w:val="24"/>
        </w:rPr>
        <w:t xml:space="preserve"> and A.E. </w:t>
      </w:r>
      <w:proofErr w:type="spellStart"/>
      <w:r w:rsidRPr="00014B50">
        <w:rPr>
          <w:color w:val="auto"/>
          <w:szCs w:val="24"/>
        </w:rPr>
        <w:t>Viau</w:t>
      </w:r>
      <w:proofErr w:type="spellEnd"/>
      <w:r w:rsidRPr="00014B50">
        <w:rPr>
          <w:color w:val="auto"/>
          <w:szCs w:val="24"/>
        </w:rPr>
        <w:t xml:space="preserve">. 2010. “Prehistoric Demography of North America Inferred from Radiocarbon Data.” </w:t>
      </w:r>
      <w:r w:rsidRPr="00014B50">
        <w:rPr>
          <w:i/>
          <w:color w:val="auto"/>
          <w:szCs w:val="24"/>
        </w:rPr>
        <w:t>Journal of Archaeological Science</w:t>
      </w:r>
      <w:r w:rsidRPr="00014B50">
        <w:rPr>
          <w:color w:val="auto"/>
          <w:szCs w:val="24"/>
        </w:rPr>
        <w:t>, 37: 656-664.</w:t>
      </w:r>
    </w:p>
    <w:p w14:paraId="79CD0578" w14:textId="77777777" w:rsidR="00142FB0" w:rsidRPr="00014B50" w:rsidRDefault="00142FB0" w:rsidP="00142FB0">
      <w:pPr>
        <w:ind w:left="284" w:hanging="284"/>
        <w:rPr>
          <w:color w:val="auto"/>
          <w:szCs w:val="24"/>
        </w:rPr>
      </w:pPr>
      <w:r w:rsidRPr="00014B50">
        <w:rPr>
          <w:color w:val="auto"/>
          <w:szCs w:val="24"/>
        </w:rPr>
        <w:t xml:space="preserve">Rick, J.W. 1987. “Dates as Data: An Examination of the Peruvian </w:t>
      </w:r>
      <w:proofErr w:type="spellStart"/>
      <w:r w:rsidRPr="00014B50">
        <w:rPr>
          <w:color w:val="auto"/>
          <w:szCs w:val="24"/>
        </w:rPr>
        <w:t>Preceramic</w:t>
      </w:r>
      <w:proofErr w:type="spellEnd"/>
      <w:r w:rsidRPr="00014B50">
        <w:rPr>
          <w:color w:val="auto"/>
          <w:szCs w:val="24"/>
        </w:rPr>
        <w:t xml:space="preserve"> Radiocarbon Record.” </w:t>
      </w:r>
      <w:r w:rsidRPr="00014B50">
        <w:rPr>
          <w:i/>
          <w:iCs/>
          <w:color w:val="auto"/>
          <w:szCs w:val="24"/>
        </w:rPr>
        <w:t>American Antiquity</w:t>
      </w:r>
      <w:r w:rsidRPr="00014B50">
        <w:rPr>
          <w:color w:val="auto"/>
          <w:szCs w:val="24"/>
        </w:rPr>
        <w:t xml:space="preserve"> 52(1):55-73.</w:t>
      </w:r>
    </w:p>
    <w:p w14:paraId="4957B80A" w14:textId="77777777" w:rsidR="00142FB0" w:rsidRPr="00014B50" w:rsidRDefault="00142FB0" w:rsidP="00142FB0">
      <w:pPr>
        <w:ind w:left="284" w:hanging="284"/>
        <w:rPr>
          <w:color w:val="auto"/>
          <w:szCs w:val="24"/>
          <w:lang w:val="en-CA"/>
        </w:rPr>
      </w:pPr>
      <w:r w:rsidRPr="00014B50">
        <w:rPr>
          <w:color w:val="auto"/>
          <w:szCs w:val="24"/>
          <w:lang w:val="en-CA"/>
        </w:rPr>
        <w:t xml:space="preserve">Reimer, P. J., E. Bard, A. </w:t>
      </w:r>
      <w:proofErr w:type="spellStart"/>
      <w:r w:rsidRPr="00014B50">
        <w:rPr>
          <w:color w:val="auto"/>
          <w:szCs w:val="24"/>
          <w:lang w:val="en-CA"/>
        </w:rPr>
        <w:t>Bayliss</w:t>
      </w:r>
      <w:proofErr w:type="spellEnd"/>
      <w:r w:rsidRPr="00014B50">
        <w:rPr>
          <w:color w:val="auto"/>
          <w:szCs w:val="24"/>
          <w:lang w:val="en-CA"/>
        </w:rPr>
        <w:t>, J. W. Beck, P. G. Blackwell, C. </w:t>
      </w:r>
      <w:proofErr w:type="spellStart"/>
      <w:r w:rsidRPr="00014B50">
        <w:rPr>
          <w:color w:val="auto"/>
          <w:szCs w:val="24"/>
          <w:lang w:val="en-CA"/>
        </w:rPr>
        <w:t>Bronk</w:t>
      </w:r>
      <w:proofErr w:type="spellEnd"/>
      <w:r w:rsidRPr="00014B50">
        <w:rPr>
          <w:color w:val="auto"/>
          <w:szCs w:val="24"/>
          <w:lang w:val="en-CA"/>
        </w:rPr>
        <w:t xml:space="preserve"> Ramsey, C. E. Buck, H. Cheng, R. L. Edwards, M. Friedrich, P. M. </w:t>
      </w:r>
      <w:proofErr w:type="spellStart"/>
      <w:r w:rsidRPr="00014B50">
        <w:rPr>
          <w:color w:val="auto"/>
          <w:szCs w:val="24"/>
          <w:lang w:val="en-CA"/>
        </w:rPr>
        <w:t>Grootes</w:t>
      </w:r>
      <w:proofErr w:type="spellEnd"/>
      <w:r w:rsidRPr="00014B50">
        <w:rPr>
          <w:color w:val="auto"/>
          <w:szCs w:val="24"/>
          <w:lang w:val="en-CA"/>
        </w:rPr>
        <w:t xml:space="preserve">, T. P. </w:t>
      </w:r>
      <w:proofErr w:type="spellStart"/>
      <w:r w:rsidRPr="00014B50">
        <w:rPr>
          <w:color w:val="auto"/>
          <w:szCs w:val="24"/>
          <w:lang w:val="en-CA"/>
        </w:rPr>
        <w:t>Guilderson</w:t>
      </w:r>
      <w:proofErr w:type="spellEnd"/>
      <w:r w:rsidRPr="00014B50">
        <w:rPr>
          <w:color w:val="auto"/>
          <w:szCs w:val="24"/>
          <w:lang w:val="en-CA"/>
        </w:rPr>
        <w:t xml:space="preserve">, H. </w:t>
      </w:r>
      <w:proofErr w:type="spellStart"/>
      <w:r w:rsidRPr="00014B50">
        <w:rPr>
          <w:color w:val="auto"/>
          <w:szCs w:val="24"/>
          <w:lang w:val="en-CA"/>
        </w:rPr>
        <w:t>Haflidason</w:t>
      </w:r>
      <w:proofErr w:type="spellEnd"/>
      <w:r w:rsidRPr="00014B50">
        <w:rPr>
          <w:color w:val="auto"/>
          <w:szCs w:val="24"/>
          <w:lang w:val="en-CA"/>
        </w:rPr>
        <w:t xml:space="preserve">, I. </w:t>
      </w:r>
      <w:proofErr w:type="spellStart"/>
      <w:r w:rsidRPr="00014B50">
        <w:rPr>
          <w:color w:val="auto"/>
          <w:szCs w:val="24"/>
          <w:lang w:val="en-CA"/>
        </w:rPr>
        <w:t>Hajdas</w:t>
      </w:r>
      <w:proofErr w:type="spellEnd"/>
      <w:r w:rsidRPr="00014B50">
        <w:rPr>
          <w:color w:val="auto"/>
          <w:szCs w:val="24"/>
          <w:lang w:val="en-CA"/>
        </w:rPr>
        <w:t xml:space="preserve">, C. </w:t>
      </w:r>
      <w:proofErr w:type="spellStart"/>
      <w:r w:rsidRPr="00014B50">
        <w:rPr>
          <w:color w:val="auto"/>
          <w:szCs w:val="24"/>
          <w:lang w:val="en-CA"/>
        </w:rPr>
        <w:t>Hatté</w:t>
      </w:r>
      <w:proofErr w:type="spellEnd"/>
      <w:r w:rsidRPr="00014B50">
        <w:rPr>
          <w:color w:val="auto"/>
          <w:szCs w:val="24"/>
          <w:lang w:val="en-CA"/>
        </w:rPr>
        <w:t xml:space="preserve">, T. J. Heaton, D. L. Hoffmann, A. G. Hogg, K. A. Hughen, K. F. Kaiser, B. Kromer, S. W. Manning, M. </w:t>
      </w:r>
      <w:proofErr w:type="spellStart"/>
      <w:r w:rsidRPr="00014B50">
        <w:rPr>
          <w:color w:val="auto"/>
          <w:szCs w:val="24"/>
          <w:lang w:val="en-CA"/>
        </w:rPr>
        <w:t>Niu</w:t>
      </w:r>
      <w:proofErr w:type="spellEnd"/>
      <w:r w:rsidRPr="00014B50">
        <w:rPr>
          <w:color w:val="auto"/>
          <w:szCs w:val="24"/>
          <w:lang w:val="en-CA"/>
        </w:rPr>
        <w:t xml:space="preserve">, R. W. Reimer, D. A. Richards, E. M. Scott, J. R. Southon, R. A. Staff, C. S. M. </w:t>
      </w:r>
      <w:proofErr w:type="spellStart"/>
      <w:r w:rsidRPr="00014B50">
        <w:rPr>
          <w:color w:val="auto"/>
          <w:szCs w:val="24"/>
          <w:lang w:val="en-CA"/>
        </w:rPr>
        <w:t>Turney</w:t>
      </w:r>
      <w:proofErr w:type="spellEnd"/>
      <w:r w:rsidRPr="00014B50">
        <w:rPr>
          <w:color w:val="auto"/>
          <w:szCs w:val="24"/>
          <w:lang w:val="en-CA"/>
        </w:rPr>
        <w:t xml:space="preserve"> and J. van der </w:t>
      </w:r>
      <w:proofErr w:type="spellStart"/>
      <w:r w:rsidRPr="00014B50">
        <w:rPr>
          <w:color w:val="auto"/>
          <w:szCs w:val="24"/>
          <w:lang w:val="en-CA"/>
        </w:rPr>
        <w:t>Plicht</w:t>
      </w:r>
      <w:proofErr w:type="spellEnd"/>
      <w:r w:rsidRPr="00014B50">
        <w:rPr>
          <w:color w:val="auto"/>
          <w:szCs w:val="24"/>
          <w:lang w:val="en-CA"/>
        </w:rPr>
        <w:t>. 2013. “</w:t>
      </w:r>
      <w:proofErr w:type="spellStart"/>
      <w:r w:rsidRPr="00014B50">
        <w:rPr>
          <w:color w:val="auto"/>
          <w:szCs w:val="24"/>
          <w:lang w:val="en-CA"/>
        </w:rPr>
        <w:t>IntCal</w:t>
      </w:r>
      <w:proofErr w:type="spellEnd"/>
      <w:r w:rsidRPr="00014B50">
        <w:rPr>
          <w:color w:val="auto"/>
          <w:szCs w:val="24"/>
          <w:lang w:val="en-CA"/>
        </w:rPr>
        <w:t xml:space="preserve"> 13 and Marine 13 Radiocarbon Age Calibration Curves 0-50,000 Years Cal BP.” </w:t>
      </w:r>
      <w:r w:rsidRPr="00014B50">
        <w:rPr>
          <w:i/>
          <w:iCs/>
          <w:color w:val="auto"/>
          <w:szCs w:val="24"/>
          <w:lang w:val="en-CA"/>
        </w:rPr>
        <w:t>Radiocarbon</w:t>
      </w:r>
      <w:r w:rsidRPr="00014B50">
        <w:rPr>
          <w:color w:val="auto"/>
          <w:szCs w:val="24"/>
          <w:lang w:val="en-CA"/>
        </w:rPr>
        <w:t> 55(4):1869-1887.</w:t>
      </w:r>
    </w:p>
    <w:p w14:paraId="453C43C1" w14:textId="1E1A82CF" w:rsidR="00142FB0" w:rsidRPr="00014B50" w:rsidRDefault="00142FB0" w:rsidP="00142FB0">
      <w:pPr>
        <w:ind w:left="284" w:hanging="284"/>
        <w:rPr>
          <w:color w:val="auto"/>
          <w:szCs w:val="24"/>
        </w:rPr>
      </w:pPr>
      <w:proofErr w:type="spellStart"/>
      <w:proofErr w:type="gramStart"/>
      <w:r w:rsidRPr="0033548B">
        <w:rPr>
          <w:color w:val="auto"/>
          <w:szCs w:val="24"/>
        </w:rPr>
        <w:t>Ruggles</w:t>
      </w:r>
      <w:proofErr w:type="spellEnd"/>
      <w:r w:rsidRPr="0033548B">
        <w:rPr>
          <w:color w:val="auto"/>
          <w:szCs w:val="24"/>
        </w:rPr>
        <w:t>, A. 2007.</w:t>
      </w:r>
      <w:proofErr w:type="gramEnd"/>
      <w:r w:rsidRPr="0033548B">
        <w:rPr>
          <w:color w:val="auto"/>
          <w:szCs w:val="24"/>
        </w:rPr>
        <w:t xml:space="preserve"> </w:t>
      </w:r>
      <w:r w:rsidR="0033548B" w:rsidRPr="0033548B">
        <w:rPr>
          <w:color w:val="auto"/>
          <w:szCs w:val="24"/>
        </w:rPr>
        <w:t>“</w:t>
      </w:r>
      <w:r w:rsidRPr="0033548B">
        <w:rPr>
          <w:color w:val="auto"/>
          <w:szCs w:val="24"/>
        </w:rPr>
        <w:t>Is Home Where the Hearth Is</w:t>
      </w:r>
      <w:proofErr w:type="gramStart"/>
      <w:r w:rsidRPr="0033548B">
        <w:rPr>
          <w:color w:val="auto"/>
          <w:szCs w:val="24"/>
        </w:rPr>
        <w:t>?:</w:t>
      </w:r>
      <w:proofErr w:type="gramEnd"/>
      <w:r w:rsidRPr="0033548B">
        <w:rPr>
          <w:color w:val="auto"/>
          <w:szCs w:val="24"/>
        </w:rPr>
        <w:t xml:space="preserve"> Evidence for an Early Non-Domestic Structure on the Dundas Islands of North Coastal British Columbia.</w:t>
      </w:r>
      <w:r w:rsidR="0033548B" w:rsidRPr="0033548B">
        <w:rPr>
          <w:color w:val="auto"/>
          <w:szCs w:val="24"/>
        </w:rPr>
        <w:t>”</w:t>
      </w:r>
      <w:r w:rsidRPr="0033548B">
        <w:rPr>
          <w:color w:val="auto"/>
          <w:szCs w:val="24"/>
        </w:rPr>
        <w:t xml:space="preserve"> </w:t>
      </w:r>
      <w:proofErr w:type="gramStart"/>
      <w:r w:rsidRPr="0033548B">
        <w:rPr>
          <w:color w:val="auto"/>
          <w:szCs w:val="24"/>
        </w:rPr>
        <w:t>MA Thesis</w:t>
      </w:r>
      <w:r w:rsidR="0033548B" w:rsidRPr="0033548B">
        <w:rPr>
          <w:color w:val="auto"/>
          <w:szCs w:val="24"/>
        </w:rPr>
        <w:t>.</w:t>
      </w:r>
      <w:proofErr w:type="gramEnd"/>
      <w:r w:rsidRPr="0033548B">
        <w:rPr>
          <w:color w:val="auto"/>
          <w:szCs w:val="24"/>
        </w:rPr>
        <w:t xml:space="preserve"> </w:t>
      </w:r>
      <w:proofErr w:type="gramStart"/>
      <w:r w:rsidRPr="0033548B">
        <w:rPr>
          <w:color w:val="auto"/>
          <w:szCs w:val="24"/>
        </w:rPr>
        <w:t>Department of Anthropology, University of British Columbia.</w:t>
      </w:r>
      <w:proofErr w:type="gramEnd"/>
    </w:p>
    <w:p w14:paraId="34002113" w14:textId="20443079" w:rsidR="00142FB0" w:rsidRPr="00014B50" w:rsidRDefault="00142FB0" w:rsidP="00142FB0">
      <w:pPr>
        <w:ind w:left="284" w:hanging="284"/>
        <w:rPr>
          <w:color w:val="auto"/>
          <w:szCs w:val="24"/>
          <w:lang w:val="en-CA"/>
        </w:rPr>
      </w:pPr>
      <w:proofErr w:type="spellStart"/>
      <w:proofErr w:type="gramStart"/>
      <w:r w:rsidRPr="00014B50">
        <w:rPr>
          <w:color w:val="auto"/>
          <w:szCs w:val="24"/>
          <w:lang w:val="en-CA"/>
        </w:rPr>
        <w:t>Shennan</w:t>
      </w:r>
      <w:proofErr w:type="spellEnd"/>
      <w:r w:rsidRPr="00014B50">
        <w:rPr>
          <w:color w:val="auto"/>
          <w:szCs w:val="24"/>
          <w:lang w:val="en-CA"/>
        </w:rPr>
        <w:t xml:space="preserve">, S. and K. </w:t>
      </w:r>
      <w:proofErr w:type="spellStart"/>
      <w:r w:rsidRPr="00014B50">
        <w:rPr>
          <w:color w:val="auto"/>
          <w:szCs w:val="24"/>
          <w:lang w:val="en-CA"/>
        </w:rPr>
        <w:t>Edinborough</w:t>
      </w:r>
      <w:proofErr w:type="spellEnd"/>
      <w:r w:rsidRPr="00014B50">
        <w:rPr>
          <w:color w:val="auto"/>
          <w:szCs w:val="24"/>
          <w:lang w:val="en-CA"/>
        </w:rPr>
        <w:t>.</w:t>
      </w:r>
      <w:proofErr w:type="gramEnd"/>
      <w:r w:rsidRPr="00014B50">
        <w:rPr>
          <w:color w:val="auto"/>
          <w:szCs w:val="24"/>
          <w:lang w:val="en-CA"/>
        </w:rPr>
        <w:t xml:space="preserve"> 2007. “Prehistoric </w:t>
      </w:r>
      <w:r w:rsidR="00F11298">
        <w:rPr>
          <w:color w:val="auto"/>
          <w:szCs w:val="24"/>
          <w:lang w:val="en-CA"/>
        </w:rPr>
        <w:t>P</w:t>
      </w:r>
      <w:r w:rsidRPr="00014B50">
        <w:rPr>
          <w:color w:val="auto"/>
          <w:szCs w:val="24"/>
          <w:lang w:val="en-CA"/>
        </w:rPr>
        <w:t xml:space="preserve">opulation </w:t>
      </w:r>
      <w:r w:rsidR="00F11298">
        <w:rPr>
          <w:color w:val="auto"/>
          <w:szCs w:val="24"/>
          <w:lang w:val="en-CA"/>
        </w:rPr>
        <w:t>H</w:t>
      </w:r>
      <w:r w:rsidRPr="00014B50">
        <w:rPr>
          <w:color w:val="auto"/>
          <w:szCs w:val="24"/>
          <w:lang w:val="en-CA"/>
        </w:rPr>
        <w:t xml:space="preserve">istory: from the Late Glacial to the Late Neolithic in Central and Northern Europe.” </w:t>
      </w:r>
      <w:r w:rsidRPr="00014B50">
        <w:rPr>
          <w:i/>
          <w:iCs/>
          <w:color w:val="auto"/>
          <w:szCs w:val="24"/>
          <w:lang w:val="en-CA"/>
        </w:rPr>
        <w:t>Journal of Archaeological Science</w:t>
      </w:r>
      <w:r w:rsidRPr="00014B50">
        <w:rPr>
          <w:color w:val="auto"/>
          <w:szCs w:val="24"/>
          <w:lang w:val="en-CA"/>
        </w:rPr>
        <w:t> 34(8):1339-1345.</w:t>
      </w:r>
    </w:p>
    <w:p w14:paraId="0401A734" w14:textId="77777777" w:rsidR="00142FB0" w:rsidRPr="00014B50" w:rsidRDefault="00142FB0" w:rsidP="00142FB0">
      <w:pPr>
        <w:ind w:left="284" w:hanging="284"/>
        <w:rPr>
          <w:color w:val="auto"/>
          <w:szCs w:val="24"/>
        </w:rPr>
      </w:pPr>
      <w:proofErr w:type="spellStart"/>
      <w:r w:rsidRPr="00014B50">
        <w:rPr>
          <w:color w:val="auto"/>
          <w:szCs w:val="24"/>
        </w:rPr>
        <w:t>Shugar</w:t>
      </w:r>
      <w:proofErr w:type="spellEnd"/>
      <w:r w:rsidRPr="00014B50">
        <w:rPr>
          <w:color w:val="auto"/>
          <w:szCs w:val="24"/>
        </w:rPr>
        <w:t xml:space="preserve">, D.H., I.J. Walker, O.B. </w:t>
      </w:r>
      <w:proofErr w:type="spellStart"/>
      <w:r w:rsidRPr="00014B50">
        <w:rPr>
          <w:color w:val="auto"/>
          <w:szCs w:val="24"/>
        </w:rPr>
        <w:t>Lian</w:t>
      </w:r>
      <w:proofErr w:type="spellEnd"/>
      <w:r w:rsidRPr="00014B50">
        <w:rPr>
          <w:color w:val="auto"/>
          <w:szCs w:val="24"/>
        </w:rPr>
        <w:t xml:space="preserve">, J.B.R. </w:t>
      </w:r>
      <w:proofErr w:type="spellStart"/>
      <w:r w:rsidRPr="00014B50">
        <w:rPr>
          <w:color w:val="auto"/>
          <w:szCs w:val="24"/>
        </w:rPr>
        <w:t>Eamer</w:t>
      </w:r>
      <w:proofErr w:type="spellEnd"/>
      <w:r w:rsidRPr="00014B50">
        <w:rPr>
          <w:color w:val="auto"/>
          <w:szCs w:val="24"/>
        </w:rPr>
        <w:t xml:space="preserve">, C. </w:t>
      </w:r>
      <w:proofErr w:type="spellStart"/>
      <w:r w:rsidRPr="00014B50">
        <w:rPr>
          <w:color w:val="auto"/>
          <w:szCs w:val="24"/>
        </w:rPr>
        <w:t>Neudorf</w:t>
      </w:r>
      <w:proofErr w:type="spellEnd"/>
      <w:r w:rsidRPr="00014B50">
        <w:rPr>
          <w:color w:val="auto"/>
          <w:szCs w:val="24"/>
        </w:rPr>
        <w:t xml:space="preserve">, D. McLaren, and D.W. Fedje. 2014. “Post-Glacial Sea-Level Change Along the Pacific Coast of North America.” </w:t>
      </w:r>
      <w:r w:rsidRPr="00014B50">
        <w:rPr>
          <w:i/>
          <w:color w:val="auto"/>
          <w:szCs w:val="24"/>
        </w:rPr>
        <w:t>Quaternary Science Reviews</w:t>
      </w:r>
      <w:r w:rsidRPr="00014B50">
        <w:rPr>
          <w:color w:val="auto"/>
          <w:szCs w:val="24"/>
        </w:rPr>
        <w:t xml:space="preserve"> 97(1):170-192.</w:t>
      </w:r>
    </w:p>
    <w:p w14:paraId="4E782C70" w14:textId="77777777" w:rsidR="00142FB0" w:rsidRPr="00014B50" w:rsidRDefault="00142FB0" w:rsidP="00142FB0">
      <w:pPr>
        <w:ind w:left="284" w:hanging="284"/>
        <w:rPr>
          <w:color w:val="auto"/>
          <w:szCs w:val="24"/>
        </w:rPr>
      </w:pPr>
      <w:r w:rsidRPr="00014B50">
        <w:rPr>
          <w:color w:val="auto"/>
          <w:szCs w:val="24"/>
        </w:rPr>
        <w:t xml:space="preserve">Stein, J.K. (editor). 1992. </w:t>
      </w:r>
      <w:r w:rsidRPr="00014B50">
        <w:rPr>
          <w:i/>
          <w:color w:val="auto"/>
          <w:szCs w:val="24"/>
        </w:rPr>
        <w:t>Deciphering a Shell Midden</w:t>
      </w:r>
      <w:r w:rsidRPr="00014B50">
        <w:rPr>
          <w:color w:val="auto"/>
          <w:szCs w:val="24"/>
        </w:rPr>
        <w:t>. San Diego: Academic Press.</w:t>
      </w:r>
    </w:p>
    <w:p w14:paraId="734DA784" w14:textId="77777777" w:rsidR="00142FB0" w:rsidRPr="00014B50" w:rsidRDefault="00142FB0" w:rsidP="00142FB0">
      <w:pPr>
        <w:ind w:left="284" w:hanging="284"/>
        <w:rPr>
          <w:color w:val="auto"/>
          <w:szCs w:val="24"/>
        </w:rPr>
      </w:pPr>
      <w:r w:rsidRPr="00014B50">
        <w:rPr>
          <w:color w:val="auto"/>
          <w:szCs w:val="24"/>
        </w:rPr>
        <w:t xml:space="preserve">Stein, J.K., J.N. </w:t>
      </w:r>
      <w:proofErr w:type="spellStart"/>
      <w:r w:rsidRPr="00014B50">
        <w:rPr>
          <w:color w:val="auto"/>
          <w:szCs w:val="24"/>
        </w:rPr>
        <w:t>Deo</w:t>
      </w:r>
      <w:proofErr w:type="spellEnd"/>
      <w:r w:rsidRPr="00014B50">
        <w:rPr>
          <w:color w:val="auto"/>
          <w:szCs w:val="24"/>
        </w:rPr>
        <w:t xml:space="preserve">, and L.S. Phillips. 2003. “Big Sites – Short Time: Accumulation Rates in Archaeological Sites.” </w:t>
      </w:r>
      <w:r w:rsidRPr="00014B50">
        <w:rPr>
          <w:i/>
          <w:color w:val="auto"/>
          <w:szCs w:val="24"/>
        </w:rPr>
        <w:t>Journal of Archaeological Science</w:t>
      </w:r>
      <w:r w:rsidRPr="00014B50">
        <w:rPr>
          <w:color w:val="auto"/>
          <w:szCs w:val="24"/>
        </w:rPr>
        <w:t xml:space="preserve"> 30:297-316.</w:t>
      </w:r>
    </w:p>
    <w:p w14:paraId="05206333" w14:textId="730447D4" w:rsidR="00142FB0" w:rsidRPr="00014B50" w:rsidRDefault="00142FB0" w:rsidP="00142FB0">
      <w:pPr>
        <w:ind w:left="284" w:hanging="284"/>
        <w:rPr>
          <w:color w:val="auto"/>
          <w:szCs w:val="24"/>
        </w:rPr>
      </w:pPr>
      <w:r w:rsidRPr="00014B50">
        <w:rPr>
          <w:color w:val="auto"/>
          <w:szCs w:val="24"/>
        </w:rPr>
        <w:t xml:space="preserve">Stewart, K.M. and F.L. Stewart. 2001. “Prehistoric Subsistence and Seasonality at Prince Rupert Harbour: History and Synthesis of Zooarchaeological Research.” In </w:t>
      </w:r>
      <w:r w:rsidRPr="00014B50">
        <w:rPr>
          <w:i/>
          <w:color w:val="auto"/>
          <w:szCs w:val="24"/>
        </w:rPr>
        <w:t>Perspectives on Northern Northwest Coast Prehistory</w:t>
      </w:r>
      <w:r w:rsidRPr="00014B50">
        <w:rPr>
          <w:color w:val="auto"/>
          <w:szCs w:val="24"/>
        </w:rPr>
        <w:t>, edited by J</w:t>
      </w:r>
      <w:r w:rsidR="00F11298">
        <w:rPr>
          <w:color w:val="auto"/>
          <w:szCs w:val="24"/>
        </w:rPr>
        <w:t>.</w:t>
      </w:r>
      <w:r w:rsidRPr="00014B50">
        <w:rPr>
          <w:color w:val="auto"/>
          <w:szCs w:val="24"/>
        </w:rPr>
        <w:t xml:space="preserve">S. Cybulski, pp. 173-202. </w:t>
      </w:r>
      <w:proofErr w:type="gramStart"/>
      <w:r w:rsidRPr="00014B50">
        <w:rPr>
          <w:color w:val="auto"/>
          <w:szCs w:val="24"/>
        </w:rPr>
        <w:t>Mercury Series Paper 160.</w:t>
      </w:r>
      <w:proofErr w:type="gramEnd"/>
      <w:r w:rsidRPr="00014B50">
        <w:rPr>
          <w:color w:val="auto"/>
          <w:szCs w:val="24"/>
        </w:rPr>
        <w:t xml:space="preserve"> Ottawa: Archaeological Survey of Canada, Canadian Museum of Civilization.</w:t>
      </w:r>
    </w:p>
    <w:p w14:paraId="468A52E6" w14:textId="77777777" w:rsidR="00142FB0" w:rsidRPr="00014B50" w:rsidRDefault="00142FB0" w:rsidP="00142FB0">
      <w:pPr>
        <w:ind w:left="284" w:hanging="284"/>
        <w:rPr>
          <w:color w:val="auto"/>
          <w:szCs w:val="24"/>
        </w:rPr>
      </w:pPr>
      <w:r w:rsidRPr="00014B50">
        <w:rPr>
          <w:color w:val="auto"/>
          <w:szCs w:val="24"/>
          <w:shd w:val="clear" w:color="auto" w:fill="FFFFFF"/>
        </w:rPr>
        <w:t>Stewart, K.M., F.L. Stewart, and</w:t>
      </w:r>
      <w:r w:rsidRPr="00014B50">
        <w:rPr>
          <w:rStyle w:val="apple-converted-space"/>
          <w:color w:val="auto"/>
          <w:szCs w:val="24"/>
          <w:shd w:val="clear" w:color="auto" w:fill="FFFFFF"/>
        </w:rPr>
        <w:t> </w:t>
      </w:r>
      <w:r w:rsidRPr="00014B50">
        <w:rPr>
          <w:rStyle w:val="Strong"/>
          <w:b w:val="0"/>
          <w:color w:val="auto"/>
          <w:szCs w:val="24"/>
          <w:shd w:val="clear" w:color="auto" w:fill="FFFFFF"/>
        </w:rPr>
        <w:t xml:space="preserve">G. Coupland. </w:t>
      </w:r>
      <w:r w:rsidRPr="00014B50">
        <w:rPr>
          <w:color w:val="auto"/>
          <w:szCs w:val="24"/>
          <w:shd w:val="clear" w:color="auto" w:fill="FFFFFF"/>
        </w:rPr>
        <w:t xml:space="preserve">2009. “Boardwalk, Northern Northwest Coast, Canada: A New Face to an Old Site.” </w:t>
      </w:r>
      <w:r w:rsidRPr="00014B50">
        <w:rPr>
          <w:rStyle w:val="Emphasis"/>
          <w:color w:val="auto"/>
          <w:szCs w:val="24"/>
          <w:shd w:val="clear" w:color="auto" w:fill="FFFFFF"/>
        </w:rPr>
        <w:t>Canadian Journal of Archaeology</w:t>
      </w:r>
      <w:r w:rsidRPr="00014B50">
        <w:rPr>
          <w:rStyle w:val="apple-converted-space"/>
          <w:i/>
          <w:iCs/>
          <w:color w:val="auto"/>
          <w:szCs w:val="24"/>
          <w:shd w:val="clear" w:color="auto" w:fill="FFFFFF"/>
        </w:rPr>
        <w:t> </w:t>
      </w:r>
      <w:r w:rsidRPr="00014B50">
        <w:rPr>
          <w:color w:val="auto"/>
          <w:szCs w:val="24"/>
          <w:shd w:val="clear" w:color="auto" w:fill="FFFFFF"/>
        </w:rPr>
        <w:t>35:205-233.</w:t>
      </w:r>
    </w:p>
    <w:p w14:paraId="439B244F" w14:textId="77777777" w:rsidR="00142FB0" w:rsidRPr="00014B50" w:rsidRDefault="00142FB0" w:rsidP="00142FB0">
      <w:pPr>
        <w:ind w:left="284" w:hanging="284"/>
        <w:rPr>
          <w:color w:val="auto"/>
          <w:szCs w:val="24"/>
        </w:rPr>
      </w:pPr>
      <w:r w:rsidRPr="00014B50">
        <w:rPr>
          <w:color w:val="auto"/>
          <w:szCs w:val="24"/>
        </w:rPr>
        <w:lastRenderedPageBreak/>
        <w:t xml:space="preserve">Supernant, K. and C. Cookson. 2014. “Mapping Social Cohesion in Prince Rupert Harbour, BC: A Social Application of GIS to the Archaeology of the Northwest Coast.” </w:t>
      </w:r>
      <w:r w:rsidRPr="00014B50">
        <w:rPr>
          <w:i/>
          <w:color w:val="auto"/>
          <w:szCs w:val="24"/>
        </w:rPr>
        <w:t>Canadian Journal of Archaeology</w:t>
      </w:r>
      <w:r w:rsidRPr="00014B50">
        <w:rPr>
          <w:color w:val="auto"/>
          <w:szCs w:val="24"/>
        </w:rPr>
        <w:t xml:space="preserve"> 38(1):179-210.</w:t>
      </w:r>
    </w:p>
    <w:p w14:paraId="31CCD3FA" w14:textId="77777777" w:rsidR="00142FB0" w:rsidRPr="00014B50" w:rsidRDefault="00142FB0" w:rsidP="00142FB0">
      <w:pPr>
        <w:ind w:left="284" w:hanging="284"/>
        <w:rPr>
          <w:color w:val="auto"/>
          <w:szCs w:val="24"/>
          <w:lang w:val="en-CA"/>
        </w:rPr>
      </w:pPr>
      <w:proofErr w:type="spellStart"/>
      <w:r w:rsidRPr="00014B50">
        <w:rPr>
          <w:color w:val="auto"/>
          <w:szCs w:val="24"/>
          <w:lang w:val="en-CA"/>
        </w:rPr>
        <w:t>Surovell</w:t>
      </w:r>
      <w:proofErr w:type="spellEnd"/>
      <w:r w:rsidRPr="00014B50">
        <w:rPr>
          <w:color w:val="auto"/>
          <w:szCs w:val="24"/>
          <w:lang w:val="en-CA"/>
        </w:rPr>
        <w:t xml:space="preserve">, T.A. and P.J. </w:t>
      </w:r>
      <w:proofErr w:type="spellStart"/>
      <w:r w:rsidRPr="00014B50">
        <w:rPr>
          <w:color w:val="auto"/>
          <w:szCs w:val="24"/>
          <w:lang w:val="en-CA"/>
        </w:rPr>
        <w:t>Brantingham</w:t>
      </w:r>
      <w:proofErr w:type="spellEnd"/>
      <w:r w:rsidRPr="00014B50">
        <w:rPr>
          <w:color w:val="auto"/>
          <w:szCs w:val="24"/>
          <w:lang w:val="en-CA"/>
        </w:rPr>
        <w:t xml:space="preserve">. 2007. “A Note on the Use of Temporal Frequency Distributions in Studies of Prehistoric Demography.” </w:t>
      </w:r>
      <w:r w:rsidRPr="00014B50">
        <w:rPr>
          <w:i/>
          <w:color w:val="auto"/>
          <w:szCs w:val="24"/>
          <w:lang w:val="en-CA"/>
        </w:rPr>
        <w:t xml:space="preserve">Journal of Archaeological Science </w:t>
      </w:r>
      <w:r w:rsidRPr="00014B50">
        <w:rPr>
          <w:color w:val="auto"/>
          <w:szCs w:val="24"/>
          <w:lang w:val="en-CA"/>
        </w:rPr>
        <w:t>34:1868–1877.</w:t>
      </w:r>
    </w:p>
    <w:p w14:paraId="19ECD92B" w14:textId="77777777" w:rsidR="00142FB0" w:rsidRPr="00014B50" w:rsidRDefault="00142FB0" w:rsidP="00142FB0">
      <w:pPr>
        <w:ind w:left="284" w:hanging="284"/>
        <w:rPr>
          <w:color w:val="auto"/>
          <w:szCs w:val="24"/>
          <w:lang w:val="en-CA"/>
        </w:rPr>
      </w:pPr>
      <w:proofErr w:type="spellStart"/>
      <w:r w:rsidRPr="00014B50">
        <w:rPr>
          <w:color w:val="auto"/>
          <w:szCs w:val="24"/>
          <w:lang w:val="en-CA"/>
        </w:rPr>
        <w:t>Surovell</w:t>
      </w:r>
      <w:proofErr w:type="spellEnd"/>
      <w:r w:rsidRPr="00014B50">
        <w:rPr>
          <w:color w:val="auto"/>
          <w:szCs w:val="24"/>
          <w:lang w:val="en-CA"/>
        </w:rPr>
        <w:t xml:space="preserve">, T.A., J. B. Finley, G.M. Smith, P. J. </w:t>
      </w:r>
      <w:proofErr w:type="spellStart"/>
      <w:r w:rsidRPr="00014B50">
        <w:rPr>
          <w:color w:val="auto"/>
          <w:szCs w:val="24"/>
          <w:lang w:val="en-CA"/>
        </w:rPr>
        <w:t>Brantingham</w:t>
      </w:r>
      <w:proofErr w:type="spellEnd"/>
      <w:r w:rsidRPr="00014B50">
        <w:rPr>
          <w:color w:val="auto"/>
          <w:szCs w:val="24"/>
          <w:lang w:val="en-CA"/>
        </w:rPr>
        <w:t xml:space="preserve"> and R. Kelly. 2009. “Correcting Temporal Frequency Distributions for Taphonomic Bias.” </w:t>
      </w:r>
      <w:r w:rsidRPr="00014B50">
        <w:rPr>
          <w:i/>
          <w:iCs/>
          <w:color w:val="auto"/>
          <w:szCs w:val="24"/>
          <w:lang w:val="en-CA"/>
        </w:rPr>
        <w:t>Journal of Archaeological Science</w:t>
      </w:r>
      <w:r w:rsidRPr="00014B50">
        <w:rPr>
          <w:color w:val="auto"/>
          <w:szCs w:val="24"/>
          <w:lang w:val="en-CA"/>
        </w:rPr>
        <w:t> 36(8):1715-1724.</w:t>
      </w:r>
    </w:p>
    <w:p w14:paraId="2E53F4B4" w14:textId="77777777" w:rsidR="00142FB0" w:rsidRPr="00014B50" w:rsidRDefault="00142FB0" w:rsidP="00142FB0">
      <w:pPr>
        <w:ind w:left="284" w:hanging="284"/>
        <w:rPr>
          <w:color w:val="auto"/>
          <w:szCs w:val="24"/>
        </w:rPr>
      </w:pPr>
      <w:proofErr w:type="spellStart"/>
      <w:r w:rsidRPr="00014B50">
        <w:rPr>
          <w:color w:val="auto"/>
          <w:szCs w:val="24"/>
        </w:rPr>
        <w:t>Waselkov</w:t>
      </w:r>
      <w:proofErr w:type="spellEnd"/>
      <w:r w:rsidRPr="00014B50">
        <w:rPr>
          <w:color w:val="auto"/>
          <w:szCs w:val="24"/>
        </w:rPr>
        <w:t xml:space="preserve">, G.A. 1987. “Shellfish Gathering and Shell Midden Archaeology.” </w:t>
      </w:r>
      <w:r w:rsidRPr="00014B50">
        <w:rPr>
          <w:i/>
          <w:color w:val="auto"/>
          <w:szCs w:val="24"/>
        </w:rPr>
        <w:t>Advances in Archaeological Method and Theory</w:t>
      </w:r>
      <w:r w:rsidRPr="00014B50">
        <w:rPr>
          <w:color w:val="auto"/>
          <w:szCs w:val="24"/>
        </w:rPr>
        <w:t xml:space="preserve"> 10: 93-210.</w:t>
      </w:r>
    </w:p>
    <w:p w14:paraId="65DF6C10" w14:textId="77777777" w:rsidR="00142FB0" w:rsidRPr="00014B50" w:rsidRDefault="00142FB0" w:rsidP="00142FB0">
      <w:pPr>
        <w:rPr>
          <w:color w:val="auto"/>
        </w:rPr>
      </w:pPr>
    </w:p>
    <w:p w14:paraId="47419760" w14:textId="77777777" w:rsidR="00193663" w:rsidRPr="001A5DA0" w:rsidRDefault="00193663" w:rsidP="00220CED">
      <w:pPr>
        <w:rPr>
          <w:szCs w:val="24"/>
        </w:rPr>
      </w:pPr>
    </w:p>
    <w:sectPr w:rsidR="00193663" w:rsidRPr="001A5DA0" w:rsidSect="00A8589D">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7BCCF" w14:textId="77777777" w:rsidR="00B7280D" w:rsidRDefault="00B7280D" w:rsidP="00A8589D">
      <w:pPr>
        <w:spacing w:after="0"/>
      </w:pPr>
      <w:r>
        <w:separator/>
      </w:r>
    </w:p>
  </w:endnote>
  <w:endnote w:type="continuationSeparator" w:id="0">
    <w:p w14:paraId="2EB93EFE" w14:textId="77777777" w:rsidR="00B7280D" w:rsidRDefault="00B7280D" w:rsidP="00A858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 Pro W3">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Futura">
    <w:altName w:val="Times New Roman"/>
    <w:charset w:val="00"/>
    <w:family w:val="auto"/>
    <w:pitch w:val="variable"/>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TimesNewRomanPS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839169"/>
      <w:docPartObj>
        <w:docPartGallery w:val="Page Numbers (Bottom of Page)"/>
        <w:docPartUnique/>
      </w:docPartObj>
    </w:sdtPr>
    <w:sdtEndPr>
      <w:rPr>
        <w:noProof/>
      </w:rPr>
    </w:sdtEndPr>
    <w:sdtContent>
      <w:p w14:paraId="7E4A835D" w14:textId="77777777" w:rsidR="00C323D1" w:rsidRDefault="00C323D1">
        <w:pPr>
          <w:pStyle w:val="Footer"/>
          <w:jc w:val="right"/>
        </w:pPr>
        <w:r>
          <w:fldChar w:fldCharType="begin"/>
        </w:r>
        <w:r>
          <w:instrText xml:space="preserve"> PAGE   \* MERGEFORMAT </w:instrText>
        </w:r>
        <w:r>
          <w:fldChar w:fldCharType="separate"/>
        </w:r>
        <w:r w:rsidR="0033548B">
          <w:rPr>
            <w:noProof/>
          </w:rPr>
          <w:t>4</w:t>
        </w:r>
        <w:r>
          <w:rPr>
            <w:noProof/>
          </w:rPr>
          <w:fldChar w:fldCharType="end"/>
        </w:r>
      </w:p>
    </w:sdtContent>
  </w:sdt>
  <w:p w14:paraId="0B9E8CAF" w14:textId="77777777" w:rsidR="00C323D1" w:rsidRDefault="00C32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9CB73" w14:textId="77777777" w:rsidR="00B7280D" w:rsidRDefault="00B7280D" w:rsidP="00A8589D">
      <w:pPr>
        <w:spacing w:after="0"/>
      </w:pPr>
      <w:r>
        <w:separator/>
      </w:r>
    </w:p>
  </w:footnote>
  <w:footnote w:type="continuationSeparator" w:id="0">
    <w:p w14:paraId="465C26D2" w14:textId="77777777" w:rsidR="00B7280D" w:rsidRDefault="00B7280D" w:rsidP="00A8589D">
      <w:pPr>
        <w:spacing w:after="0"/>
      </w:pPr>
      <w:r>
        <w:continuationSeparator/>
      </w:r>
    </w:p>
  </w:footnote>
  <w:footnote w:id="1">
    <w:p w14:paraId="6D59D2F6" w14:textId="1C74E18E" w:rsidR="00C323D1" w:rsidRPr="00914EBD" w:rsidRDefault="00C323D1">
      <w:pPr>
        <w:pStyle w:val="FootnoteText"/>
        <w:rPr>
          <w:lang w:val="en-CA"/>
        </w:rPr>
      </w:pPr>
      <w:r>
        <w:rPr>
          <w:rStyle w:val="FootnoteReference"/>
        </w:rPr>
        <w:footnoteRef/>
      </w:r>
      <w:r>
        <w:t xml:space="preserve"> </w:t>
      </w:r>
      <w:r>
        <w:rPr>
          <w:lang w:val="en-CA"/>
        </w:rPr>
        <w:t xml:space="preserve">Martindale and Marsden (2003) use the term ‘Northern Tsimshian’ to refer to the ancestors of the Allied Tsimshian Tribes of Lax </w:t>
      </w:r>
      <w:proofErr w:type="spellStart"/>
      <w:r>
        <w:rPr>
          <w:lang w:val="en-CA"/>
        </w:rPr>
        <w:t>Kw’alaams</w:t>
      </w:r>
      <w:proofErr w:type="spellEnd"/>
      <w:r>
        <w:rPr>
          <w:lang w:val="en-CA"/>
        </w:rPr>
        <w:t xml:space="preserve"> and </w:t>
      </w:r>
      <w:proofErr w:type="spellStart"/>
      <w:r>
        <w:rPr>
          <w:lang w:val="en-CA"/>
        </w:rPr>
        <w:t>Metlakatla</w:t>
      </w:r>
      <w:proofErr w:type="spellEnd"/>
      <w:r>
        <w:rPr>
          <w:lang w:val="en-CA"/>
        </w:rPr>
        <w:t>.</w:t>
      </w:r>
    </w:p>
  </w:footnote>
  <w:footnote w:id="2">
    <w:p w14:paraId="7130BFD7" w14:textId="4FCE5A3D" w:rsidR="00C323D1" w:rsidRPr="004753D5" w:rsidRDefault="00C323D1">
      <w:pPr>
        <w:pStyle w:val="FootnoteText"/>
        <w:rPr>
          <w:lang w:val="en-CA"/>
        </w:rPr>
      </w:pPr>
      <w:r>
        <w:rPr>
          <w:rStyle w:val="FootnoteReference"/>
        </w:rPr>
        <w:footnoteRef/>
      </w:r>
      <w:r>
        <w:t xml:space="preserve"> </w:t>
      </w:r>
      <w:r>
        <w:rPr>
          <w:lang w:val="en-CA"/>
        </w:rPr>
        <w:t>All dates discussed in text are presented as calibrated years Before Present (1950), or ‘</w:t>
      </w:r>
      <w:proofErr w:type="spellStart"/>
      <w:r>
        <w:rPr>
          <w:lang w:val="en-CA"/>
        </w:rPr>
        <w:t>cal</w:t>
      </w:r>
      <w:proofErr w:type="spellEnd"/>
      <w:r>
        <w:rPr>
          <w:lang w:val="en-CA"/>
        </w:rPr>
        <w:t xml:space="preserve"> </w:t>
      </w:r>
      <w:proofErr w:type="spellStart"/>
      <w:r>
        <w:rPr>
          <w:lang w:val="en-CA"/>
        </w:rPr>
        <w:t>yr</w:t>
      </w:r>
      <w:proofErr w:type="spellEnd"/>
      <w:r>
        <w:rPr>
          <w:lang w:val="en-CA"/>
        </w:rPr>
        <w:t xml:space="preserve"> BP’. </w:t>
      </w:r>
    </w:p>
  </w:footnote>
  <w:footnote w:id="3">
    <w:p w14:paraId="763C8E7E" w14:textId="1C9DC3D9" w:rsidR="00C323D1" w:rsidRPr="000B03A4" w:rsidRDefault="00C323D1">
      <w:pPr>
        <w:pStyle w:val="FootnoteText"/>
        <w:rPr>
          <w:lang w:val="en-CA"/>
        </w:rPr>
      </w:pPr>
      <w:r w:rsidRPr="000B03A4">
        <w:rPr>
          <w:rStyle w:val="FootnoteReference"/>
        </w:rPr>
        <w:footnoteRef/>
      </w:r>
      <w:r w:rsidRPr="000B03A4">
        <w:t xml:space="preserve"> A</w:t>
      </w:r>
      <w:r w:rsidRPr="004753D5">
        <w:t>ll elevations are given above mean sea level, abbreviated as ASL</w:t>
      </w:r>
      <w:r>
        <w:t>.</w:t>
      </w:r>
      <w:r w:rsidRPr="004753D5">
        <w:t xml:space="preserve"> </w:t>
      </w:r>
      <w:r>
        <w:t>These elevations</w:t>
      </w:r>
      <w:r w:rsidRPr="004753D5">
        <w:t xml:space="preserve"> were calculated in the </w:t>
      </w:r>
      <w:proofErr w:type="gramStart"/>
      <w:r w:rsidRPr="004753D5">
        <w:t>field,</w:t>
      </w:r>
      <w:proofErr w:type="gramEnd"/>
      <w:r w:rsidRPr="004753D5">
        <w:t xml:space="preserve"> following Cannon (2000b)</w:t>
      </w:r>
      <w:r>
        <w:t>,</w:t>
      </w:r>
      <w:r w:rsidRPr="004753D5">
        <w:t xml:space="preserve"> from the barnacle line, which </w:t>
      </w:r>
      <w:r>
        <w:t>o</w:t>
      </w:r>
      <w:r w:rsidRPr="004753D5">
        <w:t xml:space="preserve">n the Dundas Islands is </w:t>
      </w:r>
      <w:r>
        <w:t>~</w:t>
      </w:r>
      <w:r w:rsidRPr="004753D5">
        <w:t>1.5 m</w:t>
      </w:r>
      <w:r>
        <w:t>etres</w:t>
      </w:r>
      <w:r w:rsidRPr="004753D5">
        <w:t xml:space="preserve"> ASL (McLaren 2008:112). Discrepancies between the current paper and the elevations published in McLaren (2008) </w:t>
      </w:r>
      <w:r>
        <w:t xml:space="preserve">and </w:t>
      </w:r>
      <w:r w:rsidRPr="004753D5">
        <w:t>McLaren et al. (2011) are due to adding 1.5 m</w:t>
      </w:r>
      <w:r>
        <w:t>etres</w:t>
      </w:r>
      <w:r w:rsidRPr="004753D5">
        <w:t xml:space="preserve"> to field measurements in order to correct the elevations to m</w:t>
      </w:r>
      <w:r>
        <w:t>etres</w:t>
      </w:r>
      <w:r w:rsidRPr="004753D5">
        <w:t xml:space="preserve"> ASL. McLaren (2008:112) notes that the vegetation line on the Dundas Islands (i.e. the elevation at which terrestrial vegetation begins to grow) is an average of </w:t>
      </w:r>
      <w:r>
        <w:t>two metres</w:t>
      </w:r>
      <w:r w:rsidRPr="00C40A3A">
        <w:t xml:space="preserve"> above the barnacle line, or 3.5 m</w:t>
      </w:r>
      <w:r>
        <w:t>etres</w:t>
      </w:r>
      <w:r w:rsidRPr="00C40A3A">
        <w:t xml:space="preserve"> ASL.</w:t>
      </w:r>
    </w:p>
  </w:footnote>
  <w:footnote w:id="4">
    <w:p w14:paraId="0C336D7D" w14:textId="1F82B1AD" w:rsidR="00C323D1" w:rsidRPr="009C5ACF" w:rsidRDefault="00C323D1">
      <w:pPr>
        <w:pStyle w:val="FootnoteText"/>
        <w:rPr>
          <w:lang w:val="en-CA"/>
        </w:rPr>
      </w:pPr>
      <w:r>
        <w:rPr>
          <w:rStyle w:val="FootnoteReference"/>
        </w:rPr>
        <w:footnoteRef/>
      </w:r>
      <w:r>
        <w:t xml:space="preserve"> </w:t>
      </w:r>
      <w:r>
        <w:rPr>
          <w:lang w:val="en-CA"/>
        </w:rPr>
        <w:t>Because we present dates in calibrated years Before Present (</w:t>
      </w:r>
      <w:proofErr w:type="spellStart"/>
      <w:r>
        <w:rPr>
          <w:lang w:val="en-CA"/>
        </w:rPr>
        <w:t>cal</w:t>
      </w:r>
      <w:proofErr w:type="spellEnd"/>
      <w:r>
        <w:rPr>
          <w:lang w:val="en-CA"/>
        </w:rPr>
        <w:t xml:space="preserve"> </w:t>
      </w:r>
      <w:proofErr w:type="spellStart"/>
      <w:r>
        <w:rPr>
          <w:lang w:val="en-CA"/>
        </w:rPr>
        <w:t>yr</w:t>
      </w:r>
      <w:proofErr w:type="spellEnd"/>
      <w:r>
        <w:rPr>
          <w:lang w:val="en-CA"/>
        </w:rPr>
        <w:t xml:space="preserve"> BP), the dates presented here differ from those in McLaren (2008) and McLaren et al. (2011), which were published in radiocarbon years BP.</w:t>
      </w:r>
    </w:p>
  </w:footnote>
  <w:footnote w:id="5">
    <w:p w14:paraId="2BFC15AD" w14:textId="77777777" w:rsidR="00C323D1" w:rsidRPr="0051208B" w:rsidRDefault="00C323D1">
      <w:pPr>
        <w:pStyle w:val="FootnoteText"/>
        <w:rPr>
          <w:lang w:val="en-CA"/>
        </w:rPr>
      </w:pPr>
      <w:r>
        <w:rPr>
          <w:rStyle w:val="FootnoteReference"/>
        </w:rPr>
        <w:footnoteRef/>
      </w:r>
      <w:r>
        <w:t xml:space="preserve"> Our</w:t>
      </w:r>
      <w:r w:rsidRPr="00A66575">
        <w:t xml:space="preserve"> use of the term ‘village’ corresponds to Mackie and </w:t>
      </w:r>
      <w:proofErr w:type="spellStart"/>
      <w:r w:rsidRPr="00A66575">
        <w:t>Sumpter’s</w:t>
      </w:r>
      <w:proofErr w:type="spellEnd"/>
      <w:r w:rsidRPr="00A66575">
        <w:t xml:space="preserve"> (2005) and Acheson’s (2005) use of the term ‘town’</w:t>
      </w:r>
      <w:r>
        <w:t xml:space="preserve"> at sites on Haida Gwaii</w:t>
      </w:r>
      <w:r w:rsidRPr="00A66575">
        <w:t>.</w:t>
      </w:r>
    </w:p>
  </w:footnote>
  <w:footnote w:id="6">
    <w:p w14:paraId="00D84958" w14:textId="77777777" w:rsidR="00C323D1" w:rsidRPr="00241E9B" w:rsidRDefault="00C323D1">
      <w:pPr>
        <w:pStyle w:val="FootnoteText"/>
        <w:rPr>
          <w:lang w:val="en-CA"/>
        </w:rPr>
      </w:pPr>
      <w:r>
        <w:rPr>
          <w:rStyle w:val="FootnoteReference"/>
        </w:rPr>
        <w:footnoteRef/>
      </w:r>
      <w:r>
        <w:t xml:space="preserve"> </w:t>
      </w:r>
      <w:r>
        <w:rPr>
          <w:lang w:val="en-CA"/>
        </w:rPr>
        <w:t>Data from five of the fifty-four shell-bearing sites were insufficient to be included in site area calculations.</w:t>
      </w:r>
    </w:p>
  </w:footnote>
  <w:footnote w:id="7">
    <w:p w14:paraId="048270FE" w14:textId="63DEB9C8" w:rsidR="00C323D1" w:rsidRPr="001B0AC4" w:rsidRDefault="00C323D1" w:rsidP="00461D88">
      <w:pPr>
        <w:pStyle w:val="FootnoteText"/>
        <w:rPr>
          <w:lang w:val="en-CA"/>
        </w:rPr>
      </w:pPr>
      <w:r>
        <w:rPr>
          <w:rStyle w:val="FootnoteReference"/>
        </w:rPr>
        <w:footnoteRef/>
      </w:r>
      <w:r>
        <w:t xml:space="preserve"> </w:t>
      </w:r>
      <w:r>
        <w:rPr>
          <w:lang w:val="en-CA"/>
        </w:rPr>
        <w:t xml:space="preserve">All radiocarbon dates presented in the text are given as two-sigma calibrated probability ranges, indicating that there is a 95 percent probability that the actual age in years before present of the sample comes from within that range (by convention, the ‘present’ is defined as AD 1950). All dates were calibrated using </w:t>
      </w:r>
      <w:proofErr w:type="spellStart"/>
      <w:r>
        <w:rPr>
          <w:lang w:val="en-CA"/>
        </w:rPr>
        <w:t>OxCal</w:t>
      </w:r>
      <w:proofErr w:type="spellEnd"/>
      <w:r>
        <w:rPr>
          <w:lang w:val="en-CA"/>
        </w:rPr>
        <w:t xml:space="preserve"> 4.2.3 (</w:t>
      </w:r>
      <w:proofErr w:type="spellStart"/>
      <w:r>
        <w:rPr>
          <w:lang w:val="en-CA"/>
        </w:rPr>
        <w:t>Bronk</w:t>
      </w:r>
      <w:proofErr w:type="spellEnd"/>
      <w:r>
        <w:rPr>
          <w:lang w:val="en-CA"/>
        </w:rPr>
        <w:t xml:space="preserve"> Ramsey 2013). All terrestrial dates were calibrated using IntCal13 atmospheric curve (Reimer et al. 2013). All marine dates were calibrated using Marine13 marine curve (Reimer et al. 2013) and using Delta-R=288 +/- 69 (Ames and Martindale 2014).</w:t>
      </w:r>
    </w:p>
  </w:footnote>
  <w:footnote w:id="8">
    <w:p w14:paraId="1B356059" w14:textId="017F879A" w:rsidR="00C323D1" w:rsidRPr="002B030D" w:rsidRDefault="00C323D1" w:rsidP="00F536DA">
      <w:pPr>
        <w:pStyle w:val="FootnoteText"/>
        <w:rPr>
          <w:lang w:val="en-CA"/>
        </w:rPr>
      </w:pPr>
      <w:r>
        <w:rPr>
          <w:rStyle w:val="FootnoteReference"/>
        </w:rPr>
        <w:footnoteRef/>
      </w:r>
      <w:r>
        <w:t xml:space="preserve"> </w:t>
      </w:r>
      <w:r>
        <w:rPr>
          <w:szCs w:val="22"/>
        </w:rPr>
        <w:t>In addition to the early dates discussed in the text, there is an</w:t>
      </w:r>
      <w:r w:rsidRPr="00280438">
        <w:rPr>
          <w:szCs w:val="22"/>
        </w:rPr>
        <w:t xml:space="preserve"> exceptionally old date from GcTq-5</w:t>
      </w:r>
      <w:r>
        <w:rPr>
          <w:szCs w:val="22"/>
        </w:rPr>
        <w:t xml:space="preserve"> of</w:t>
      </w:r>
      <w:r w:rsidRPr="00280438">
        <w:rPr>
          <w:szCs w:val="22"/>
        </w:rPr>
        <w:t xml:space="preserve"> </w:t>
      </w:r>
      <w:r w:rsidRPr="008E0DC9">
        <w:rPr>
          <w:szCs w:val="22"/>
        </w:rPr>
        <w:t>9411</w:t>
      </w:r>
      <w:r>
        <w:rPr>
          <w:szCs w:val="22"/>
        </w:rPr>
        <w:t xml:space="preserve"> to </w:t>
      </w:r>
      <w:r w:rsidRPr="008E0DC9">
        <w:rPr>
          <w:szCs w:val="22"/>
        </w:rPr>
        <w:t>8973</w:t>
      </w:r>
      <w:r w:rsidRPr="00280438">
        <w:rPr>
          <w:szCs w:val="22"/>
        </w:rPr>
        <w:t xml:space="preserve"> </w:t>
      </w:r>
      <w:proofErr w:type="spellStart"/>
      <w:r w:rsidRPr="0055154A">
        <w:rPr>
          <w:szCs w:val="22"/>
        </w:rPr>
        <w:t>cal</w:t>
      </w:r>
      <w:proofErr w:type="spellEnd"/>
      <w:r>
        <w:rPr>
          <w:szCs w:val="22"/>
        </w:rPr>
        <w:t xml:space="preserve"> </w:t>
      </w:r>
      <w:proofErr w:type="spellStart"/>
      <w:r>
        <w:rPr>
          <w:szCs w:val="22"/>
        </w:rPr>
        <w:t>yr</w:t>
      </w:r>
      <w:proofErr w:type="spellEnd"/>
      <w:r w:rsidRPr="0055154A">
        <w:rPr>
          <w:szCs w:val="22"/>
        </w:rPr>
        <w:t xml:space="preserve"> BP</w:t>
      </w:r>
      <w:r>
        <w:rPr>
          <w:szCs w:val="22"/>
        </w:rPr>
        <w:t>. It</w:t>
      </w:r>
      <w:r w:rsidRPr="0055154A">
        <w:rPr>
          <w:szCs w:val="22"/>
        </w:rPr>
        <w:t xml:space="preserve"> is from an area on the northern edge of the village and is actually a</w:t>
      </w:r>
      <w:r>
        <w:rPr>
          <w:szCs w:val="22"/>
        </w:rPr>
        <w:t xml:space="preserve"> stratigraphically</w:t>
      </w:r>
      <w:r w:rsidRPr="0055154A">
        <w:rPr>
          <w:szCs w:val="22"/>
        </w:rPr>
        <w:t xml:space="preserve"> inverted date from the terminal surface of the site, with a younger date (</w:t>
      </w:r>
      <w:r w:rsidRPr="008E0DC9">
        <w:rPr>
          <w:szCs w:val="22"/>
        </w:rPr>
        <w:t>4770</w:t>
      </w:r>
      <w:r>
        <w:rPr>
          <w:szCs w:val="22"/>
        </w:rPr>
        <w:t xml:space="preserve"> to </w:t>
      </w:r>
      <w:r w:rsidRPr="008E0DC9">
        <w:rPr>
          <w:szCs w:val="22"/>
        </w:rPr>
        <w:t>4227</w:t>
      </w:r>
      <w:r w:rsidRPr="008E0DC9" w:rsidDel="00451223">
        <w:rPr>
          <w:szCs w:val="22"/>
        </w:rPr>
        <w:t xml:space="preserve"> </w:t>
      </w:r>
      <w:proofErr w:type="spellStart"/>
      <w:r w:rsidRPr="000A2E57">
        <w:rPr>
          <w:szCs w:val="22"/>
        </w:rPr>
        <w:t>cal</w:t>
      </w:r>
      <w:proofErr w:type="spellEnd"/>
      <w:r>
        <w:rPr>
          <w:szCs w:val="22"/>
        </w:rPr>
        <w:t xml:space="preserve"> </w:t>
      </w:r>
      <w:proofErr w:type="spellStart"/>
      <w:r>
        <w:rPr>
          <w:szCs w:val="22"/>
        </w:rPr>
        <w:t>yr</w:t>
      </w:r>
      <w:proofErr w:type="spellEnd"/>
      <w:r w:rsidRPr="00F42E31">
        <w:rPr>
          <w:szCs w:val="22"/>
        </w:rPr>
        <w:t xml:space="preserve"> BP</w:t>
      </w:r>
      <w:r w:rsidRPr="00FB4530">
        <w:rPr>
          <w:szCs w:val="22"/>
        </w:rPr>
        <w:t>) below</w:t>
      </w:r>
      <w:r>
        <w:rPr>
          <w:szCs w:val="22"/>
        </w:rPr>
        <w:t xml:space="preserve"> it. This area is well below 7.5 metres A</w:t>
      </w:r>
      <w:r w:rsidRPr="007B6CC4">
        <w:rPr>
          <w:szCs w:val="22"/>
        </w:rPr>
        <w:t>S</w:t>
      </w:r>
      <w:r w:rsidRPr="00A525BA">
        <w:rPr>
          <w:szCs w:val="22"/>
        </w:rPr>
        <w:t xml:space="preserve">L, </w:t>
      </w:r>
      <w:r>
        <w:rPr>
          <w:szCs w:val="22"/>
        </w:rPr>
        <w:t>indicating</w:t>
      </w:r>
      <w:r w:rsidRPr="00A525BA">
        <w:rPr>
          <w:szCs w:val="22"/>
        </w:rPr>
        <w:t xml:space="preserve"> that the shell that was dated </w:t>
      </w:r>
      <w:r>
        <w:rPr>
          <w:szCs w:val="22"/>
        </w:rPr>
        <w:t>may</w:t>
      </w:r>
      <w:r w:rsidRPr="00A525BA">
        <w:rPr>
          <w:szCs w:val="22"/>
        </w:rPr>
        <w:t xml:space="preserve"> have been washed down or brought down from an older now-buried </w:t>
      </w:r>
      <w:r>
        <w:rPr>
          <w:szCs w:val="22"/>
        </w:rPr>
        <w:t>shell-bearing component</w:t>
      </w:r>
      <w:r w:rsidRPr="00A525BA">
        <w:rPr>
          <w:szCs w:val="22"/>
        </w:rPr>
        <w:t xml:space="preserve"> at a</w:t>
      </w:r>
      <w:r w:rsidRPr="00D770CC">
        <w:rPr>
          <w:szCs w:val="22"/>
        </w:rPr>
        <w:t xml:space="preserve"> higher elevation. Alternatively, there is a chance that the shell was naturally deposited near its current location when sea levels were higher and later human disturbance brought the shell to the surface. We can therefore not say for certain that there was human occupation at GcTq-5 during the early Holocene.</w:t>
      </w:r>
    </w:p>
  </w:footnote>
  <w:footnote w:id="9">
    <w:p w14:paraId="6CD33FCF" w14:textId="728A25EA" w:rsidR="00C323D1" w:rsidRPr="00AF4367" w:rsidRDefault="00C323D1">
      <w:pPr>
        <w:pStyle w:val="FootnoteText"/>
        <w:rPr>
          <w:lang w:val="en-CA"/>
        </w:rPr>
      </w:pPr>
      <w:r>
        <w:rPr>
          <w:rStyle w:val="FootnoteReference"/>
        </w:rPr>
        <w:footnoteRef/>
      </w:r>
      <w:r>
        <w:t xml:space="preserve"> Martindale and Marsden (2003), following MacDonald and Inglis (1981), suggest that a population expansion began about 3500 </w:t>
      </w:r>
      <w:proofErr w:type="spellStart"/>
      <w:r>
        <w:t>cal</w:t>
      </w:r>
      <w:proofErr w:type="spellEnd"/>
      <w:r>
        <w:t xml:space="preserve"> </w:t>
      </w:r>
      <w:proofErr w:type="spellStart"/>
      <w:r>
        <w:t>yr</w:t>
      </w:r>
      <w:proofErr w:type="spellEnd"/>
      <w:r>
        <w:t xml:space="preserve"> BP in broader Northern Tsimshian territory. This date is not necessarily inconsistent with these results as it refers to other lines of evidence, including artifact trends, which may reflect the duration of a process of expansion. However, the difference may also be related to MacDonald and </w:t>
      </w:r>
      <w:proofErr w:type="spellStart"/>
      <w:r>
        <w:t>Inglis’s</w:t>
      </w:r>
      <w:proofErr w:type="spellEnd"/>
      <w:r>
        <w:t xml:space="preserve"> (1981:44) apparent use of uncalibrated dates to form their chronology.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894EE87C"/>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1">
    <w:nsid w:val="0000000B"/>
    <w:multiLevelType w:val="multilevel"/>
    <w:tmpl w:val="894EE87D"/>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2">
    <w:nsid w:val="0000000C"/>
    <w:multiLevelType w:val="multilevel"/>
    <w:tmpl w:val="894EE87E"/>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3">
    <w:nsid w:val="0000000D"/>
    <w:multiLevelType w:val="multilevel"/>
    <w:tmpl w:val="894EE87F"/>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4">
    <w:nsid w:val="0000000E"/>
    <w:multiLevelType w:val="multilevel"/>
    <w:tmpl w:val="894EE880"/>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5">
    <w:nsid w:val="0000000F"/>
    <w:multiLevelType w:val="multilevel"/>
    <w:tmpl w:val="894EE881"/>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6">
    <w:nsid w:val="00000010"/>
    <w:multiLevelType w:val="multilevel"/>
    <w:tmpl w:val="894EE882"/>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7">
    <w:nsid w:val="00000011"/>
    <w:multiLevelType w:val="multilevel"/>
    <w:tmpl w:val="894EE883"/>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8">
    <w:nsid w:val="00000012"/>
    <w:multiLevelType w:val="multilevel"/>
    <w:tmpl w:val="894EE884"/>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9">
    <w:nsid w:val="00000013"/>
    <w:multiLevelType w:val="multilevel"/>
    <w:tmpl w:val="894EE885"/>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10">
    <w:nsid w:val="00000014"/>
    <w:multiLevelType w:val="multilevel"/>
    <w:tmpl w:val="894EE886"/>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11">
    <w:nsid w:val="00000015"/>
    <w:multiLevelType w:val="multilevel"/>
    <w:tmpl w:val="894EE887"/>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12">
    <w:nsid w:val="03FF7DB0"/>
    <w:multiLevelType w:val="hybridMultilevel"/>
    <w:tmpl w:val="C23AC1C0"/>
    <w:lvl w:ilvl="0" w:tplc="E3A24906">
      <w:start w:val="1994"/>
      <w:numFmt w:val="decimal"/>
      <w:lvlText w:val="%1"/>
      <w:lvlJc w:val="left"/>
      <w:pPr>
        <w:ind w:left="84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1202A83"/>
    <w:multiLevelType w:val="hybridMultilevel"/>
    <w:tmpl w:val="896C7E96"/>
    <w:lvl w:ilvl="0" w:tplc="566A9AC8">
      <w:start w:val="1990"/>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1D2D7421"/>
    <w:multiLevelType w:val="hybridMultilevel"/>
    <w:tmpl w:val="6478EEA0"/>
    <w:lvl w:ilvl="0" w:tplc="37B2F5DC">
      <w:start w:val="199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202B4416"/>
    <w:multiLevelType w:val="hybridMultilevel"/>
    <w:tmpl w:val="066C9AB2"/>
    <w:lvl w:ilvl="0" w:tplc="63A086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45F1566"/>
    <w:multiLevelType w:val="hybridMultilevel"/>
    <w:tmpl w:val="7DDCFC7C"/>
    <w:lvl w:ilvl="0" w:tplc="F0D491B0">
      <w:start w:val="1998"/>
      <w:numFmt w:val="decimal"/>
      <w:lvlText w:val="%1"/>
      <w:lvlJc w:val="left"/>
      <w:pPr>
        <w:tabs>
          <w:tab w:val="num" w:pos="1320"/>
        </w:tabs>
        <w:ind w:left="1320" w:hanging="600"/>
      </w:pPr>
      <w:rPr>
        <w:rFonts w:cs="Times New Roman" w:hint="default"/>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7FF23C9"/>
    <w:multiLevelType w:val="hybridMultilevel"/>
    <w:tmpl w:val="E0943D50"/>
    <w:lvl w:ilvl="0" w:tplc="37B2F5DC">
      <w:start w:val="199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BF929D5"/>
    <w:multiLevelType w:val="hybridMultilevel"/>
    <w:tmpl w:val="E66C65F2"/>
    <w:lvl w:ilvl="0" w:tplc="7D720C16">
      <w:start w:val="1994"/>
      <w:numFmt w:val="decimal"/>
      <w:lvlText w:val="%1"/>
      <w:lvlJc w:val="left"/>
      <w:pPr>
        <w:tabs>
          <w:tab w:val="num" w:pos="1320"/>
        </w:tabs>
        <w:ind w:left="1320" w:hanging="60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2F16210F"/>
    <w:multiLevelType w:val="hybridMultilevel"/>
    <w:tmpl w:val="5628916C"/>
    <w:lvl w:ilvl="0" w:tplc="7CA6890E">
      <w:start w:val="1998"/>
      <w:numFmt w:val="decimal"/>
      <w:lvlText w:val="%1"/>
      <w:lvlJc w:val="left"/>
      <w:pPr>
        <w:tabs>
          <w:tab w:val="num" w:pos="1320"/>
        </w:tabs>
        <w:ind w:left="1320" w:hanging="60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3CAD795A"/>
    <w:multiLevelType w:val="hybridMultilevel"/>
    <w:tmpl w:val="11BEF5B2"/>
    <w:lvl w:ilvl="0" w:tplc="A558BB04">
      <w:start w:val="2003"/>
      <w:numFmt w:val="decimal"/>
      <w:lvlText w:val="%1"/>
      <w:lvlJc w:val="left"/>
      <w:pPr>
        <w:tabs>
          <w:tab w:val="num" w:pos="1320"/>
        </w:tabs>
        <w:ind w:left="1320" w:hanging="60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3EF61FBB"/>
    <w:multiLevelType w:val="hybridMultilevel"/>
    <w:tmpl w:val="18C8F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5B16E7"/>
    <w:multiLevelType w:val="hybridMultilevel"/>
    <w:tmpl w:val="BF6053D8"/>
    <w:lvl w:ilvl="0" w:tplc="1A0EE6E6">
      <w:start w:val="199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542723CB"/>
    <w:multiLevelType w:val="hybridMultilevel"/>
    <w:tmpl w:val="CDE43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5D0664C"/>
    <w:multiLevelType w:val="hybridMultilevel"/>
    <w:tmpl w:val="74C079FE"/>
    <w:lvl w:ilvl="0" w:tplc="37B2F5DC">
      <w:start w:val="1989"/>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5A5E0EB2"/>
    <w:multiLevelType w:val="hybridMultilevel"/>
    <w:tmpl w:val="9076A17C"/>
    <w:lvl w:ilvl="0" w:tplc="37B2F5DC">
      <w:start w:val="198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64670CC3"/>
    <w:multiLevelType w:val="hybridMultilevel"/>
    <w:tmpl w:val="4BFEDF1A"/>
    <w:lvl w:ilvl="0" w:tplc="FB164638">
      <w:start w:val="2006"/>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49B680B"/>
    <w:multiLevelType w:val="multilevel"/>
    <w:tmpl w:val="C23AC1C0"/>
    <w:lvl w:ilvl="0">
      <w:start w:val="1994"/>
      <w:numFmt w:val="decimal"/>
      <w:lvlText w:val="%1"/>
      <w:lvlJc w:val="left"/>
      <w:pPr>
        <w:ind w:left="840" w:hanging="48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666E43BE"/>
    <w:multiLevelType w:val="hybridMultilevel"/>
    <w:tmpl w:val="F7DC7ED8"/>
    <w:lvl w:ilvl="0" w:tplc="37B2F5DC">
      <w:start w:val="1993"/>
      <w:numFmt w:val="decimal"/>
      <w:lvlText w:val="%1"/>
      <w:lvlJc w:val="left"/>
      <w:pPr>
        <w:tabs>
          <w:tab w:val="num" w:pos="1440"/>
        </w:tabs>
        <w:ind w:left="1440" w:hanging="720"/>
      </w:pPr>
      <w:rPr>
        <w:rFonts w:cs="Times New Roman" w:hint="default"/>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6B6B321B"/>
    <w:multiLevelType w:val="hybridMultilevel"/>
    <w:tmpl w:val="3D40532E"/>
    <w:lvl w:ilvl="0" w:tplc="6976322C">
      <w:start w:val="2000"/>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6F097D20"/>
    <w:multiLevelType w:val="hybridMultilevel"/>
    <w:tmpl w:val="EE62C866"/>
    <w:lvl w:ilvl="0" w:tplc="C18EEC82">
      <w:start w:val="2001"/>
      <w:numFmt w:val="decimal"/>
      <w:lvlText w:val="%1"/>
      <w:lvlJc w:val="left"/>
      <w:pPr>
        <w:tabs>
          <w:tab w:val="num" w:pos="1320"/>
        </w:tabs>
        <w:ind w:left="1320" w:hanging="60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30"/>
  </w:num>
  <w:num w:numId="15">
    <w:abstractNumId w:val="26"/>
  </w:num>
  <w:num w:numId="16">
    <w:abstractNumId w:val="13"/>
  </w:num>
  <w:num w:numId="17">
    <w:abstractNumId w:val="29"/>
  </w:num>
  <w:num w:numId="18">
    <w:abstractNumId w:val="22"/>
  </w:num>
  <w:num w:numId="19">
    <w:abstractNumId w:val="25"/>
  </w:num>
  <w:num w:numId="20">
    <w:abstractNumId w:val="16"/>
  </w:num>
  <w:num w:numId="21">
    <w:abstractNumId w:val="20"/>
  </w:num>
  <w:num w:numId="22">
    <w:abstractNumId w:val="18"/>
  </w:num>
  <w:num w:numId="23">
    <w:abstractNumId w:val="19"/>
  </w:num>
  <w:num w:numId="24">
    <w:abstractNumId w:val="24"/>
  </w:num>
  <w:num w:numId="25">
    <w:abstractNumId w:val="14"/>
  </w:num>
  <w:num w:numId="26">
    <w:abstractNumId w:val="28"/>
  </w:num>
  <w:num w:numId="27">
    <w:abstractNumId w:val="17"/>
  </w:num>
  <w:num w:numId="28">
    <w:abstractNumId w:val="12"/>
  </w:num>
  <w:num w:numId="29">
    <w:abstractNumId w:val="27"/>
  </w:num>
  <w:num w:numId="30">
    <w:abstractNumId w:val="2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9D"/>
    <w:rsid w:val="00000AC6"/>
    <w:rsid w:val="00001374"/>
    <w:rsid w:val="00007F94"/>
    <w:rsid w:val="000106A9"/>
    <w:rsid w:val="000140B9"/>
    <w:rsid w:val="000150CA"/>
    <w:rsid w:val="00015148"/>
    <w:rsid w:val="000154E9"/>
    <w:rsid w:val="00016CD3"/>
    <w:rsid w:val="00022DD3"/>
    <w:rsid w:val="00033611"/>
    <w:rsid w:val="0004025D"/>
    <w:rsid w:val="00040E97"/>
    <w:rsid w:val="000412F4"/>
    <w:rsid w:val="00042D97"/>
    <w:rsid w:val="00044FE0"/>
    <w:rsid w:val="00045AD1"/>
    <w:rsid w:val="00045B6B"/>
    <w:rsid w:val="00050F20"/>
    <w:rsid w:val="00052519"/>
    <w:rsid w:val="00053C71"/>
    <w:rsid w:val="000543A5"/>
    <w:rsid w:val="00056DE3"/>
    <w:rsid w:val="00061C9E"/>
    <w:rsid w:val="00070A9F"/>
    <w:rsid w:val="00071451"/>
    <w:rsid w:val="00071525"/>
    <w:rsid w:val="00077C6A"/>
    <w:rsid w:val="00082B66"/>
    <w:rsid w:val="000862A3"/>
    <w:rsid w:val="00090A34"/>
    <w:rsid w:val="00090A41"/>
    <w:rsid w:val="000A14B2"/>
    <w:rsid w:val="000B03A4"/>
    <w:rsid w:val="000B193C"/>
    <w:rsid w:val="000B1D35"/>
    <w:rsid w:val="000C2CE6"/>
    <w:rsid w:val="000C5D64"/>
    <w:rsid w:val="000C6D9F"/>
    <w:rsid w:val="000D56BE"/>
    <w:rsid w:val="000D5A69"/>
    <w:rsid w:val="000E0706"/>
    <w:rsid w:val="000E4663"/>
    <w:rsid w:val="000E6775"/>
    <w:rsid w:val="000F27DC"/>
    <w:rsid w:val="000F3ADA"/>
    <w:rsid w:val="000F4FDC"/>
    <w:rsid w:val="000F5710"/>
    <w:rsid w:val="00113C93"/>
    <w:rsid w:val="001141BF"/>
    <w:rsid w:val="00114EC6"/>
    <w:rsid w:val="001178DB"/>
    <w:rsid w:val="001220AC"/>
    <w:rsid w:val="00131D8F"/>
    <w:rsid w:val="00132379"/>
    <w:rsid w:val="00134181"/>
    <w:rsid w:val="00135607"/>
    <w:rsid w:val="001375C2"/>
    <w:rsid w:val="00141B2C"/>
    <w:rsid w:val="00141FF2"/>
    <w:rsid w:val="00142FB0"/>
    <w:rsid w:val="0014729E"/>
    <w:rsid w:val="00155A74"/>
    <w:rsid w:val="00157AD1"/>
    <w:rsid w:val="00164901"/>
    <w:rsid w:val="00173AEC"/>
    <w:rsid w:val="00186B3D"/>
    <w:rsid w:val="00191D60"/>
    <w:rsid w:val="00193663"/>
    <w:rsid w:val="0019434A"/>
    <w:rsid w:val="00196049"/>
    <w:rsid w:val="00196D22"/>
    <w:rsid w:val="001A2547"/>
    <w:rsid w:val="001A3221"/>
    <w:rsid w:val="001A5DA0"/>
    <w:rsid w:val="001A6EBE"/>
    <w:rsid w:val="001A7C59"/>
    <w:rsid w:val="001B0AC4"/>
    <w:rsid w:val="001B1D1E"/>
    <w:rsid w:val="001B2A79"/>
    <w:rsid w:val="001B2BA3"/>
    <w:rsid w:val="001C0A6A"/>
    <w:rsid w:val="001C6E79"/>
    <w:rsid w:val="001E33F6"/>
    <w:rsid w:val="001E434B"/>
    <w:rsid w:val="001E4ED4"/>
    <w:rsid w:val="001E62D9"/>
    <w:rsid w:val="001F5184"/>
    <w:rsid w:val="001F5FBB"/>
    <w:rsid w:val="001F694C"/>
    <w:rsid w:val="00205E45"/>
    <w:rsid w:val="00207D95"/>
    <w:rsid w:val="00220CED"/>
    <w:rsid w:val="00223B8E"/>
    <w:rsid w:val="0023582A"/>
    <w:rsid w:val="00236DDF"/>
    <w:rsid w:val="00240845"/>
    <w:rsid w:val="00241E9B"/>
    <w:rsid w:val="00244510"/>
    <w:rsid w:val="0024782E"/>
    <w:rsid w:val="00250B83"/>
    <w:rsid w:val="00250CCD"/>
    <w:rsid w:val="00256FE2"/>
    <w:rsid w:val="00257E4B"/>
    <w:rsid w:val="00260958"/>
    <w:rsid w:val="00260B43"/>
    <w:rsid w:val="00260B5D"/>
    <w:rsid w:val="002667C9"/>
    <w:rsid w:val="00266C1D"/>
    <w:rsid w:val="00272ED1"/>
    <w:rsid w:val="002746E6"/>
    <w:rsid w:val="00281ABF"/>
    <w:rsid w:val="00282063"/>
    <w:rsid w:val="00284074"/>
    <w:rsid w:val="0028419D"/>
    <w:rsid w:val="0028579F"/>
    <w:rsid w:val="0028618F"/>
    <w:rsid w:val="00290A94"/>
    <w:rsid w:val="00293800"/>
    <w:rsid w:val="00295075"/>
    <w:rsid w:val="00297524"/>
    <w:rsid w:val="002A63B8"/>
    <w:rsid w:val="002A7D90"/>
    <w:rsid w:val="002B030D"/>
    <w:rsid w:val="002B0A36"/>
    <w:rsid w:val="002B6260"/>
    <w:rsid w:val="002B646E"/>
    <w:rsid w:val="002D02B3"/>
    <w:rsid w:val="002D2116"/>
    <w:rsid w:val="002D2737"/>
    <w:rsid w:val="002D5293"/>
    <w:rsid w:val="002D5A5B"/>
    <w:rsid w:val="002E4B63"/>
    <w:rsid w:val="002E5A83"/>
    <w:rsid w:val="002F026E"/>
    <w:rsid w:val="002F366C"/>
    <w:rsid w:val="002F790A"/>
    <w:rsid w:val="002F795F"/>
    <w:rsid w:val="00304452"/>
    <w:rsid w:val="00304BFE"/>
    <w:rsid w:val="003101F8"/>
    <w:rsid w:val="003114F3"/>
    <w:rsid w:val="003157F3"/>
    <w:rsid w:val="00316C91"/>
    <w:rsid w:val="0032478E"/>
    <w:rsid w:val="00332759"/>
    <w:rsid w:val="0033548B"/>
    <w:rsid w:val="003364B4"/>
    <w:rsid w:val="00336922"/>
    <w:rsid w:val="0034020F"/>
    <w:rsid w:val="00340F45"/>
    <w:rsid w:val="00341AAC"/>
    <w:rsid w:val="003431F3"/>
    <w:rsid w:val="00345DE3"/>
    <w:rsid w:val="00351062"/>
    <w:rsid w:val="00361DB3"/>
    <w:rsid w:val="00363A19"/>
    <w:rsid w:val="00364E65"/>
    <w:rsid w:val="0036705F"/>
    <w:rsid w:val="00376EDF"/>
    <w:rsid w:val="00377517"/>
    <w:rsid w:val="00381017"/>
    <w:rsid w:val="0039221A"/>
    <w:rsid w:val="00393A1C"/>
    <w:rsid w:val="00394EC7"/>
    <w:rsid w:val="0039680C"/>
    <w:rsid w:val="003A0EBC"/>
    <w:rsid w:val="003A19B1"/>
    <w:rsid w:val="003A2A1A"/>
    <w:rsid w:val="003A2B36"/>
    <w:rsid w:val="003A3BBD"/>
    <w:rsid w:val="003A5722"/>
    <w:rsid w:val="003A5EC9"/>
    <w:rsid w:val="003B0A05"/>
    <w:rsid w:val="003B12F3"/>
    <w:rsid w:val="003B15E1"/>
    <w:rsid w:val="003B2664"/>
    <w:rsid w:val="003B689F"/>
    <w:rsid w:val="003C0000"/>
    <w:rsid w:val="003C17C2"/>
    <w:rsid w:val="003C1A1F"/>
    <w:rsid w:val="003C2497"/>
    <w:rsid w:val="003C2F23"/>
    <w:rsid w:val="003C46D6"/>
    <w:rsid w:val="003C552A"/>
    <w:rsid w:val="003C7616"/>
    <w:rsid w:val="003D1090"/>
    <w:rsid w:val="003D2AE6"/>
    <w:rsid w:val="003D4793"/>
    <w:rsid w:val="003D5901"/>
    <w:rsid w:val="003D65AB"/>
    <w:rsid w:val="003D7965"/>
    <w:rsid w:val="003E052C"/>
    <w:rsid w:val="003E086F"/>
    <w:rsid w:val="003E7B18"/>
    <w:rsid w:val="003F3E7B"/>
    <w:rsid w:val="003F6325"/>
    <w:rsid w:val="00400C82"/>
    <w:rsid w:val="00406286"/>
    <w:rsid w:val="00410E0D"/>
    <w:rsid w:val="00411376"/>
    <w:rsid w:val="00414E49"/>
    <w:rsid w:val="004158EA"/>
    <w:rsid w:val="004213E3"/>
    <w:rsid w:val="00421A03"/>
    <w:rsid w:val="00423FC0"/>
    <w:rsid w:val="00424C83"/>
    <w:rsid w:val="00425DF5"/>
    <w:rsid w:val="00426C67"/>
    <w:rsid w:val="004303CC"/>
    <w:rsid w:val="00430E44"/>
    <w:rsid w:val="00440A81"/>
    <w:rsid w:val="004446A3"/>
    <w:rsid w:val="00444CF5"/>
    <w:rsid w:val="00445BEF"/>
    <w:rsid w:val="0044660D"/>
    <w:rsid w:val="00450CDD"/>
    <w:rsid w:val="00451223"/>
    <w:rsid w:val="00454885"/>
    <w:rsid w:val="00461D88"/>
    <w:rsid w:val="00462415"/>
    <w:rsid w:val="00470B79"/>
    <w:rsid w:val="004753D5"/>
    <w:rsid w:val="0047552F"/>
    <w:rsid w:val="00477A58"/>
    <w:rsid w:val="0048334C"/>
    <w:rsid w:val="00483D4D"/>
    <w:rsid w:val="0048602D"/>
    <w:rsid w:val="0049188B"/>
    <w:rsid w:val="00491B9F"/>
    <w:rsid w:val="00494EA4"/>
    <w:rsid w:val="004A360D"/>
    <w:rsid w:val="004B4FAD"/>
    <w:rsid w:val="004B64AF"/>
    <w:rsid w:val="004C0C4A"/>
    <w:rsid w:val="004C28E3"/>
    <w:rsid w:val="004C5D6A"/>
    <w:rsid w:val="004D2546"/>
    <w:rsid w:val="004D39E4"/>
    <w:rsid w:val="004D4AC6"/>
    <w:rsid w:val="004D500F"/>
    <w:rsid w:val="004D56C1"/>
    <w:rsid w:val="004E0A49"/>
    <w:rsid w:val="004E2A06"/>
    <w:rsid w:val="004E3BD0"/>
    <w:rsid w:val="004E53A5"/>
    <w:rsid w:val="004F13EF"/>
    <w:rsid w:val="004F6B75"/>
    <w:rsid w:val="00503E99"/>
    <w:rsid w:val="00504A77"/>
    <w:rsid w:val="00506ADF"/>
    <w:rsid w:val="00511786"/>
    <w:rsid w:val="0051208B"/>
    <w:rsid w:val="00514D5B"/>
    <w:rsid w:val="00516945"/>
    <w:rsid w:val="00524846"/>
    <w:rsid w:val="00525AAE"/>
    <w:rsid w:val="00530CF7"/>
    <w:rsid w:val="005361CF"/>
    <w:rsid w:val="00536D2F"/>
    <w:rsid w:val="00536E16"/>
    <w:rsid w:val="00540417"/>
    <w:rsid w:val="00543201"/>
    <w:rsid w:val="00543932"/>
    <w:rsid w:val="005439E4"/>
    <w:rsid w:val="00543E14"/>
    <w:rsid w:val="00552702"/>
    <w:rsid w:val="00552B79"/>
    <w:rsid w:val="005559B0"/>
    <w:rsid w:val="005724BC"/>
    <w:rsid w:val="0058523E"/>
    <w:rsid w:val="005869A3"/>
    <w:rsid w:val="005874D0"/>
    <w:rsid w:val="005939AB"/>
    <w:rsid w:val="005A0DD2"/>
    <w:rsid w:val="005A0F36"/>
    <w:rsid w:val="005A358F"/>
    <w:rsid w:val="005A72F3"/>
    <w:rsid w:val="005B12C7"/>
    <w:rsid w:val="005B26E3"/>
    <w:rsid w:val="005B3F35"/>
    <w:rsid w:val="005B407C"/>
    <w:rsid w:val="005B6862"/>
    <w:rsid w:val="005C107C"/>
    <w:rsid w:val="005C231C"/>
    <w:rsid w:val="005C3F69"/>
    <w:rsid w:val="005C4B9E"/>
    <w:rsid w:val="005C5E11"/>
    <w:rsid w:val="005C680D"/>
    <w:rsid w:val="005D60BD"/>
    <w:rsid w:val="005E0246"/>
    <w:rsid w:val="005E140B"/>
    <w:rsid w:val="005E1E4C"/>
    <w:rsid w:val="005E4814"/>
    <w:rsid w:val="005F2B33"/>
    <w:rsid w:val="00602991"/>
    <w:rsid w:val="0060344F"/>
    <w:rsid w:val="006061F6"/>
    <w:rsid w:val="00610906"/>
    <w:rsid w:val="00610C2A"/>
    <w:rsid w:val="00613A19"/>
    <w:rsid w:val="006224F7"/>
    <w:rsid w:val="00625044"/>
    <w:rsid w:val="00626147"/>
    <w:rsid w:val="006273BF"/>
    <w:rsid w:val="00632522"/>
    <w:rsid w:val="006379D3"/>
    <w:rsid w:val="00637E3F"/>
    <w:rsid w:val="00637EC6"/>
    <w:rsid w:val="00640349"/>
    <w:rsid w:val="00645074"/>
    <w:rsid w:val="006467CF"/>
    <w:rsid w:val="00646E4C"/>
    <w:rsid w:val="00650AD6"/>
    <w:rsid w:val="0065295F"/>
    <w:rsid w:val="00654ED7"/>
    <w:rsid w:val="0065613E"/>
    <w:rsid w:val="00656BD7"/>
    <w:rsid w:val="00660032"/>
    <w:rsid w:val="00666233"/>
    <w:rsid w:val="006708A0"/>
    <w:rsid w:val="006722CC"/>
    <w:rsid w:val="006757F3"/>
    <w:rsid w:val="006819D7"/>
    <w:rsid w:val="00683222"/>
    <w:rsid w:val="00683B52"/>
    <w:rsid w:val="00685588"/>
    <w:rsid w:val="0069208A"/>
    <w:rsid w:val="006A0E4B"/>
    <w:rsid w:val="006A3206"/>
    <w:rsid w:val="006B170F"/>
    <w:rsid w:val="006B1CE1"/>
    <w:rsid w:val="006B34CB"/>
    <w:rsid w:val="006B3A39"/>
    <w:rsid w:val="006B3D8C"/>
    <w:rsid w:val="006B6B94"/>
    <w:rsid w:val="006B7EC4"/>
    <w:rsid w:val="006C12B5"/>
    <w:rsid w:val="006C61D5"/>
    <w:rsid w:val="006C6C94"/>
    <w:rsid w:val="006C6FDB"/>
    <w:rsid w:val="006D1EBF"/>
    <w:rsid w:val="006D25C6"/>
    <w:rsid w:val="006D3887"/>
    <w:rsid w:val="006D66D4"/>
    <w:rsid w:val="006D719A"/>
    <w:rsid w:val="006D7C88"/>
    <w:rsid w:val="006E7361"/>
    <w:rsid w:val="006E7863"/>
    <w:rsid w:val="006F0339"/>
    <w:rsid w:val="006F0D92"/>
    <w:rsid w:val="006F15A3"/>
    <w:rsid w:val="006F6969"/>
    <w:rsid w:val="006F7A66"/>
    <w:rsid w:val="007038A1"/>
    <w:rsid w:val="00704EAF"/>
    <w:rsid w:val="0070567C"/>
    <w:rsid w:val="007066B4"/>
    <w:rsid w:val="00710A86"/>
    <w:rsid w:val="00711AC7"/>
    <w:rsid w:val="00715343"/>
    <w:rsid w:val="00724603"/>
    <w:rsid w:val="007262D6"/>
    <w:rsid w:val="00727C6A"/>
    <w:rsid w:val="00727E41"/>
    <w:rsid w:val="00731553"/>
    <w:rsid w:val="0073220A"/>
    <w:rsid w:val="0073488B"/>
    <w:rsid w:val="007416BA"/>
    <w:rsid w:val="00742815"/>
    <w:rsid w:val="007445CE"/>
    <w:rsid w:val="0076046A"/>
    <w:rsid w:val="00760B66"/>
    <w:rsid w:val="0076416C"/>
    <w:rsid w:val="0076513F"/>
    <w:rsid w:val="007656A7"/>
    <w:rsid w:val="00766B79"/>
    <w:rsid w:val="00774599"/>
    <w:rsid w:val="00775290"/>
    <w:rsid w:val="00787F90"/>
    <w:rsid w:val="00793CF5"/>
    <w:rsid w:val="00797950"/>
    <w:rsid w:val="007A09CF"/>
    <w:rsid w:val="007A400D"/>
    <w:rsid w:val="007A4F60"/>
    <w:rsid w:val="007A6E6C"/>
    <w:rsid w:val="007A71A8"/>
    <w:rsid w:val="007A728C"/>
    <w:rsid w:val="007C1B41"/>
    <w:rsid w:val="007C2E11"/>
    <w:rsid w:val="007C4F83"/>
    <w:rsid w:val="007C65B3"/>
    <w:rsid w:val="007D0A17"/>
    <w:rsid w:val="007D1B1F"/>
    <w:rsid w:val="007D20AF"/>
    <w:rsid w:val="007D5008"/>
    <w:rsid w:val="007D6B1D"/>
    <w:rsid w:val="007E3D44"/>
    <w:rsid w:val="007E4614"/>
    <w:rsid w:val="008048EE"/>
    <w:rsid w:val="008126FD"/>
    <w:rsid w:val="0081558D"/>
    <w:rsid w:val="0081561B"/>
    <w:rsid w:val="00817DD8"/>
    <w:rsid w:val="00821D68"/>
    <w:rsid w:val="0082200D"/>
    <w:rsid w:val="00824382"/>
    <w:rsid w:val="008274D8"/>
    <w:rsid w:val="0083305F"/>
    <w:rsid w:val="008355DA"/>
    <w:rsid w:val="00836CA2"/>
    <w:rsid w:val="008453F3"/>
    <w:rsid w:val="00845AE9"/>
    <w:rsid w:val="008529F3"/>
    <w:rsid w:val="00852FA3"/>
    <w:rsid w:val="008560EA"/>
    <w:rsid w:val="00856845"/>
    <w:rsid w:val="00861E77"/>
    <w:rsid w:val="008628A2"/>
    <w:rsid w:val="008645DA"/>
    <w:rsid w:val="00865C0F"/>
    <w:rsid w:val="0086637E"/>
    <w:rsid w:val="008665F6"/>
    <w:rsid w:val="008729C9"/>
    <w:rsid w:val="0087302C"/>
    <w:rsid w:val="0087470C"/>
    <w:rsid w:val="00874B5D"/>
    <w:rsid w:val="008768D9"/>
    <w:rsid w:val="00876BE9"/>
    <w:rsid w:val="008833CC"/>
    <w:rsid w:val="00884CCC"/>
    <w:rsid w:val="008905DA"/>
    <w:rsid w:val="0089705E"/>
    <w:rsid w:val="00897F42"/>
    <w:rsid w:val="008B2872"/>
    <w:rsid w:val="008B584F"/>
    <w:rsid w:val="008B663C"/>
    <w:rsid w:val="008C238D"/>
    <w:rsid w:val="008C5FF6"/>
    <w:rsid w:val="008C71D8"/>
    <w:rsid w:val="008D23CA"/>
    <w:rsid w:val="008D3F4C"/>
    <w:rsid w:val="008D7895"/>
    <w:rsid w:val="008E0DC9"/>
    <w:rsid w:val="008E265D"/>
    <w:rsid w:val="008E6B96"/>
    <w:rsid w:val="008E7570"/>
    <w:rsid w:val="008E7864"/>
    <w:rsid w:val="008F08E9"/>
    <w:rsid w:val="008F39F4"/>
    <w:rsid w:val="00910394"/>
    <w:rsid w:val="00910E57"/>
    <w:rsid w:val="00914EBD"/>
    <w:rsid w:val="00920A40"/>
    <w:rsid w:val="00934BA3"/>
    <w:rsid w:val="00940C77"/>
    <w:rsid w:val="0094189C"/>
    <w:rsid w:val="00951212"/>
    <w:rsid w:val="009517C8"/>
    <w:rsid w:val="00952309"/>
    <w:rsid w:val="0095434C"/>
    <w:rsid w:val="00956384"/>
    <w:rsid w:val="00964EBF"/>
    <w:rsid w:val="00967A32"/>
    <w:rsid w:val="00970F18"/>
    <w:rsid w:val="00981CB1"/>
    <w:rsid w:val="009876AC"/>
    <w:rsid w:val="009907FC"/>
    <w:rsid w:val="00990874"/>
    <w:rsid w:val="00993AF4"/>
    <w:rsid w:val="009A0960"/>
    <w:rsid w:val="009A5E5B"/>
    <w:rsid w:val="009B2C0C"/>
    <w:rsid w:val="009B3AC6"/>
    <w:rsid w:val="009C0986"/>
    <w:rsid w:val="009C0A08"/>
    <w:rsid w:val="009C16D4"/>
    <w:rsid w:val="009C3520"/>
    <w:rsid w:val="009C5ACF"/>
    <w:rsid w:val="009C5B89"/>
    <w:rsid w:val="009C5C8F"/>
    <w:rsid w:val="009D1AB9"/>
    <w:rsid w:val="009E1CD9"/>
    <w:rsid w:val="009F00EC"/>
    <w:rsid w:val="009F5626"/>
    <w:rsid w:val="00A01F46"/>
    <w:rsid w:val="00A02986"/>
    <w:rsid w:val="00A07DCD"/>
    <w:rsid w:val="00A129FB"/>
    <w:rsid w:val="00A148CA"/>
    <w:rsid w:val="00A1781C"/>
    <w:rsid w:val="00A20C69"/>
    <w:rsid w:val="00A223A7"/>
    <w:rsid w:val="00A2371E"/>
    <w:rsid w:val="00A25479"/>
    <w:rsid w:val="00A25852"/>
    <w:rsid w:val="00A26248"/>
    <w:rsid w:val="00A400E9"/>
    <w:rsid w:val="00A45776"/>
    <w:rsid w:val="00A45841"/>
    <w:rsid w:val="00A46F5E"/>
    <w:rsid w:val="00A512F0"/>
    <w:rsid w:val="00A52110"/>
    <w:rsid w:val="00A6084B"/>
    <w:rsid w:val="00A61503"/>
    <w:rsid w:val="00A64F60"/>
    <w:rsid w:val="00A65A1D"/>
    <w:rsid w:val="00A66575"/>
    <w:rsid w:val="00A732C2"/>
    <w:rsid w:val="00A757C2"/>
    <w:rsid w:val="00A82A0E"/>
    <w:rsid w:val="00A8589D"/>
    <w:rsid w:val="00A85C68"/>
    <w:rsid w:val="00A919EA"/>
    <w:rsid w:val="00A93B22"/>
    <w:rsid w:val="00A940AF"/>
    <w:rsid w:val="00A95067"/>
    <w:rsid w:val="00AA10F1"/>
    <w:rsid w:val="00AA2A84"/>
    <w:rsid w:val="00AA2CB5"/>
    <w:rsid w:val="00AA32EC"/>
    <w:rsid w:val="00AB00D0"/>
    <w:rsid w:val="00AB4C53"/>
    <w:rsid w:val="00AC23B3"/>
    <w:rsid w:val="00AC3F90"/>
    <w:rsid w:val="00AC450E"/>
    <w:rsid w:val="00AC66F4"/>
    <w:rsid w:val="00AD1782"/>
    <w:rsid w:val="00AD7752"/>
    <w:rsid w:val="00AE117C"/>
    <w:rsid w:val="00AE44FE"/>
    <w:rsid w:val="00AE6E17"/>
    <w:rsid w:val="00AF0D80"/>
    <w:rsid w:val="00AF1B10"/>
    <w:rsid w:val="00AF2155"/>
    <w:rsid w:val="00AF3634"/>
    <w:rsid w:val="00AF3BB9"/>
    <w:rsid w:val="00AF3ED6"/>
    <w:rsid w:val="00AF4367"/>
    <w:rsid w:val="00B00993"/>
    <w:rsid w:val="00B16C63"/>
    <w:rsid w:val="00B20488"/>
    <w:rsid w:val="00B30F5A"/>
    <w:rsid w:val="00B37C92"/>
    <w:rsid w:val="00B44F8D"/>
    <w:rsid w:val="00B456E7"/>
    <w:rsid w:val="00B47681"/>
    <w:rsid w:val="00B47ED8"/>
    <w:rsid w:val="00B55B6C"/>
    <w:rsid w:val="00B5657D"/>
    <w:rsid w:val="00B708C9"/>
    <w:rsid w:val="00B7280D"/>
    <w:rsid w:val="00B7295F"/>
    <w:rsid w:val="00B75D2A"/>
    <w:rsid w:val="00B76104"/>
    <w:rsid w:val="00B763CA"/>
    <w:rsid w:val="00B8012D"/>
    <w:rsid w:val="00B829C4"/>
    <w:rsid w:val="00B86BFD"/>
    <w:rsid w:val="00B90AD7"/>
    <w:rsid w:val="00B915BA"/>
    <w:rsid w:val="00B93B03"/>
    <w:rsid w:val="00B95257"/>
    <w:rsid w:val="00B966F4"/>
    <w:rsid w:val="00B96968"/>
    <w:rsid w:val="00BA0A58"/>
    <w:rsid w:val="00BA495D"/>
    <w:rsid w:val="00BB2215"/>
    <w:rsid w:val="00BB263D"/>
    <w:rsid w:val="00BB39A8"/>
    <w:rsid w:val="00BB5232"/>
    <w:rsid w:val="00BB5764"/>
    <w:rsid w:val="00BB5C8B"/>
    <w:rsid w:val="00BB77F3"/>
    <w:rsid w:val="00BC6E4F"/>
    <w:rsid w:val="00BC6FB3"/>
    <w:rsid w:val="00BD043A"/>
    <w:rsid w:val="00BD1316"/>
    <w:rsid w:val="00BD4BC7"/>
    <w:rsid w:val="00BE07FF"/>
    <w:rsid w:val="00BE0FD6"/>
    <w:rsid w:val="00BE1259"/>
    <w:rsid w:val="00BE1F79"/>
    <w:rsid w:val="00BE6B13"/>
    <w:rsid w:val="00BF242D"/>
    <w:rsid w:val="00BF293C"/>
    <w:rsid w:val="00BF4A93"/>
    <w:rsid w:val="00BF5487"/>
    <w:rsid w:val="00BF5987"/>
    <w:rsid w:val="00BF678A"/>
    <w:rsid w:val="00C012DD"/>
    <w:rsid w:val="00C03053"/>
    <w:rsid w:val="00C03226"/>
    <w:rsid w:val="00C04537"/>
    <w:rsid w:val="00C0760D"/>
    <w:rsid w:val="00C12C57"/>
    <w:rsid w:val="00C1513F"/>
    <w:rsid w:val="00C20162"/>
    <w:rsid w:val="00C22DBC"/>
    <w:rsid w:val="00C30473"/>
    <w:rsid w:val="00C323D1"/>
    <w:rsid w:val="00C33111"/>
    <w:rsid w:val="00C35875"/>
    <w:rsid w:val="00C37BBB"/>
    <w:rsid w:val="00C40A3A"/>
    <w:rsid w:val="00C40F12"/>
    <w:rsid w:val="00C45B8E"/>
    <w:rsid w:val="00C45BF6"/>
    <w:rsid w:val="00C46CFA"/>
    <w:rsid w:val="00C4721D"/>
    <w:rsid w:val="00C50818"/>
    <w:rsid w:val="00C50BC8"/>
    <w:rsid w:val="00C5440A"/>
    <w:rsid w:val="00C5704A"/>
    <w:rsid w:val="00C60183"/>
    <w:rsid w:val="00C619E5"/>
    <w:rsid w:val="00C65F5B"/>
    <w:rsid w:val="00C67545"/>
    <w:rsid w:val="00C67B2A"/>
    <w:rsid w:val="00C71EEB"/>
    <w:rsid w:val="00C72134"/>
    <w:rsid w:val="00C80CC3"/>
    <w:rsid w:val="00C810FC"/>
    <w:rsid w:val="00C8393C"/>
    <w:rsid w:val="00C86BC6"/>
    <w:rsid w:val="00C87AD3"/>
    <w:rsid w:val="00C87CCF"/>
    <w:rsid w:val="00C93707"/>
    <w:rsid w:val="00C94280"/>
    <w:rsid w:val="00C96736"/>
    <w:rsid w:val="00C9693C"/>
    <w:rsid w:val="00C974AE"/>
    <w:rsid w:val="00CA2635"/>
    <w:rsid w:val="00CB2449"/>
    <w:rsid w:val="00CB47B0"/>
    <w:rsid w:val="00CB4A00"/>
    <w:rsid w:val="00CB684C"/>
    <w:rsid w:val="00CC30A2"/>
    <w:rsid w:val="00CC60A6"/>
    <w:rsid w:val="00CC65D3"/>
    <w:rsid w:val="00CC6A61"/>
    <w:rsid w:val="00CD0264"/>
    <w:rsid w:val="00CD2B08"/>
    <w:rsid w:val="00CD377E"/>
    <w:rsid w:val="00CD5137"/>
    <w:rsid w:val="00CD6267"/>
    <w:rsid w:val="00CD7AAD"/>
    <w:rsid w:val="00CF0291"/>
    <w:rsid w:val="00CF2242"/>
    <w:rsid w:val="00CF3A0A"/>
    <w:rsid w:val="00CF47D7"/>
    <w:rsid w:val="00CF48B5"/>
    <w:rsid w:val="00D00E2A"/>
    <w:rsid w:val="00D01F6F"/>
    <w:rsid w:val="00D04352"/>
    <w:rsid w:val="00D06B09"/>
    <w:rsid w:val="00D16270"/>
    <w:rsid w:val="00D20CD2"/>
    <w:rsid w:val="00D23CE8"/>
    <w:rsid w:val="00D27676"/>
    <w:rsid w:val="00D30D57"/>
    <w:rsid w:val="00D33484"/>
    <w:rsid w:val="00D34672"/>
    <w:rsid w:val="00D40F67"/>
    <w:rsid w:val="00D46AEF"/>
    <w:rsid w:val="00D66346"/>
    <w:rsid w:val="00D718B6"/>
    <w:rsid w:val="00D763F7"/>
    <w:rsid w:val="00D80705"/>
    <w:rsid w:val="00D81EFE"/>
    <w:rsid w:val="00D831E5"/>
    <w:rsid w:val="00D92B95"/>
    <w:rsid w:val="00D971AB"/>
    <w:rsid w:val="00D9733F"/>
    <w:rsid w:val="00DA141A"/>
    <w:rsid w:val="00DA7241"/>
    <w:rsid w:val="00DB02D2"/>
    <w:rsid w:val="00DB1B13"/>
    <w:rsid w:val="00DD0CC0"/>
    <w:rsid w:val="00DD22FA"/>
    <w:rsid w:val="00DD3AB3"/>
    <w:rsid w:val="00DD5ED4"/>
    <w:rsid w:val="00DD71EA"/>
    <w:rsid w:val="00DE5D34"/>
    <w:rsid w:val="00DF11F1"/>
    <w:rsid w:val="00DF1BEF"/>
    <w:rsid w:val="00DF3483"/>
    <w:rsid w:val="00E02534"/>
    <w:rsid w:val="00E04C00"/>
    <w:rsid w:val="00E0692D"/>
    <w:rsid w:val="00E110F7"/>
    <w:rsid w:val="00E112E0"/>
    <w:rsid w:val="00E203DF"/>
    <w:rsid w:val="00E311AC"/>
    <w:rsid w:val="00E334C4"/>
    <w:rsid w:val="00E35470"/>
    <w:rsid w:val="00E361C3"/>
    <w:rsid w:val="00E4138A"/>
    <w:rsid w:val="00E530B9"/>
    <w:rsid w:val="00E5449E"/>
    <w:rsid w:val="00E57418"/>
    <w:rsid w:val="00E62C39"/>
    <w:rsid w:val="00E70C7C"/>
    <w:rsid w:val="00E734BD"/>
    <w:rsid w:val="00E74BA1"/>
    <w:rsid w:val="00E76610"/>
    <w:rsid w:val="00E81693"/>
    <w:rsid w:val="00E840D1"/>
    <w:rsid w:val="00E85ECA"/>
    <w:rsid w:val="00E86431"/>
    <w:rsid w:val="00E86B53"/>
    <w:rsid w:val="00E870CB"/>
    <w:rsid w:val="00E90815"/>
    <w:rsid w:val="00E92EAE"/>
    <w:rsid w:val="00E93B72"/>
    <w:rsid w:val="00E94499"/>
    <w:rsid w:val="00E9756C"/>
    <w:rsid w:val="00EA5B73"/>
    <w:rsid w:val="00EA622D"/>
    <w:rsid w:val="00EA6A07"/>
    <w:rsid w:val="00EC06CA"/>
    <w:rsid w:val="00EC7239"/>
    <w:rsid w:val="00ED463A"/>
    <w:rsid w:val="00EE3935"/>
    <w:rsid w:val="00EE7681"/>
    <w:rsid w:val="00EF0223"/>
    <w:rsid w:val="00EF34A8"/>
    <w:rsid w:val="00EF67E8"/>
    <w:rsid w:val="00F01C59"/>
    <w:rsid w:val="00F0444E"/>
    <w:rsid w:val="00F0789C"/>
    <w:rsid w:val="00F11298"/>
    <w:rsid w:val="00F12DA6"/>
    <w:rsid w:val="00F13D83"/>
    <w:rsid w:val="00F149A5"/>
    <w:rsid w:val="00F16D4C"/>
    <w:rsid w:val="00F20718"/>
    <w:rsid w:val="00F25533"/>
    <w:rsid w:val="00F309E6"/>
    <w:rsid w:val="00F30D2B"/>
    <w:rsid w:val="00F346A0"/>
    <w:rsid w:val="00F348A7"/>
    <w:rsid w:val="00F3586E"/>
    <w:rsid w:val="00F35945"/>
    <w:rsid w:val="00F36D5B"/>
    <w:rsid w:val="00F475C3"/>
    <w:rsid w:val="00F476FF"/>
    <w:rsid w:val="00F523A3"/>
    <w:rsid w:val="00F536DA"/>
    <w:rsid w:val="00F54CD0"/>
    <w:rsid w:val="00F55427"/>
    <w:rsid w:val="00F60901"/>
    <w:rsid w:val="00F60D97"/>
    <w:rsid w:val="00F60DF8"/>
    <w:rsid w:val="00F64E16"/>
    <w:rsid w:val="00F702F5"/>
    <w:rsid w:val="00F75323"/>
    <w:rsid w:val="00F80FB1"/>
    <w:rsid w:val="00F90128"/>
    <w:rsid w:val="00FA0852"/>
    <w:rsid w:val="00FA70E3"/>
    <w:rsid w:val="00FB153D"/>
    <w:rsid w:val="00FB31C9"/>
    <w:rsid w:val="00FB4307"/>
    <w:rsid w:val="00FB5256"/>
    <w:rsid w:val="00FC169C"/>
    <w:rsid w:val="00FD03E4"/>
    <w:rsid w:val="00FD19E9"/>
    <w:rsid w:val="00FD1AFA"/>
    <w:rsid w:val="00FD283A"/>
    <w:rsid w:val="00FE183F"/>
    <w:rsid w:val="00FE22BD"/>
    <w:rsid w:val="00FE2D76"/>
    <w:rsid w:val="00FE40D3"/>
    <w:rsid w:val="00FE65BA"/>
    <w:rsid w:val="00FF3CC4"/>
    <w:rsid w:val="00FF6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4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89D"/>
    <w:pPr>
      <w:spacing w:after="120" w:line="240" w:lineRule="auto"/>
    </w:pPr>
    <w:rPr>
      <w:rFonts w:ascii="Times New Roman" w:eastAsia="?????? Pro W3" w:hAnsi="Times New Roman" w:cs="Times New Roman"/>
      <w:color w:val="000000"/>
      <w:sz w:val="24"/>
      <w:szCs w:val="20"/>
      <w:lang w:val="en-US"/>
    </w:rPr>
  </w:style>
  <w:style w:type="paragraph" w:styleId="Heading1">
    <w:name w:val="heading 1"/>
    <w:basedOn w:val="Normal"/>
    <w:link w:val="Heading1Char"/>
    <w:uiPriority w:val="99"/>
    <w:qFormat/>
    <w:rsid w:val="00A8589D"/>
    <w:pPr>
      <w:spacing w:before="100" w:beforeAutospacing="1" w:after="100" w:afterAutospacing="1"/>
      <w:outlineLvl w:val="0"/>
    </w:pPr>
    <w:rPr>
      <w:rFonts w:eastAsia="Times New Roman"/>
      <w:b/>
      <w:bCs/>
      <w:kern w:val="36"/>
      <w:sz w:val="48"/>
      <w:szCs w:val="48"/>
    </w:rPr>
  </w:style>
  <w:style w:type="paragraph" w:styleId="Heading2">
    <w:name w:val="heading 2"/>
    <w:aliases w:val="Main Sub Heading"/>
    <w:basedOn w:val="Normal"/>
    <w:next w:val="Normal"/>
    <w:link w:val="Heading2Char"/>
    <w:unhideWhenUsed/>
    <w:qFormat/>
    <w:rsid w:val="00A8589D"/>
    <w:pPr>
      <w:keepNext/>
      <w:keepLines/>
      <w:spacing w:before="200" w:after="0"/>
      <w:outlineLvl w:val="1"/>
    </w:pPr>
    <w:rPr>
      <w:rFonts w:asciiTheme="majorHAnsi" w:eastAsiaTheme="majorEastAsia" w:hAnsiTheme="majorHAnsi" w:cstheme="majorBidi"/>
      <w:b/>
      <w:bCs/>
      <w:color w:val="000000" w:themeColor="text1"/>
      <w:sz w:val="28"/>
      <w:szCs w:val="28"/>
    </w:rPr>
  </w:style>
  <w:style w:type="paragraph" w:styleId="Heading3">
    <w:name w:val="heading 3"/>
    <w:aliases w:val="Figure Captions"/>
    <w:basedOn w:val="Normal"/>
    <w:next w:val="Normal"/>
    <w:link w:val="Heading3Char"/>
    <w:unhideWhenUsed/>
    <w:qFormat/>
    <w:rsid w:val="00A8589D"/>
    <w:pPr>
      <w:keepNext/>
      <w:keepLines/>
      <w:spacing w:before="200" w:after="0"/>
      <w:outlineLvl w:val="2"/>
    </w:pPr>
    <w:rPr>
      <w:rFonts w:asciiTheme="majorHAnsi" w:eastAsiaTheme="majorEastAsia" w:hAnsiTheme="majorHAnsi" w:cstheme="majorBidi"/>
      <w:b/>
      <w:bCs/>
      <w:color w:val="000000" w:themeColor="text1"/>
      <w:sz w:val="20"/>
    </w:rPr>
  </w:style>
  <w:style w:type="paragraph" w:styleId="Heading4">
    <w:name w:val="heading 4"/>
    <w:aliases w:val="2nd subheading"/>
    <w:basedOn w:val="Normal"/>
    <w:next w:val="Normal"/>
    <w:link w:val="Heading4Char"/>
    <w:unhideWhenUsed/>
    <w:qFormat/>
    <w:rsid w:val="00A8589D"/>
    <w:pPr>
      <w:keepNext/>
      <w:keepLines/>
      <w:spacing w:before="200" w:after="0"/>
      <w:outlineLvl w:val="3"/>
    </w:pPr>
    <w:rPr>
      <w:rFonts w:asciiTheme="majorHAnsi" w:eastAsiaTheme="majorEastAsia" w:hAnsiTheme="majorHAnsi" w:cstheme="majorBidi"/>
      <w:b/>
      <w:bCs/>
      <w:i/>
      <w:iCs/>
      <w:color w:val="000000" w:themeColor="text1"/>
      <w:szCs w:val="24"/>
    </w:rPr>
  </w:style>
  <w:style w:type="paragraph" w:styleId="Heading5">
    <w:name w:val="heading 5"/>
    <w:aliases w:val="Table Caption"/>
    <w:basedOn w:val="TableHeading"/>
    <w:next w:val="Normal"/>
    <w:link w:val="Heading5Char"/>
    <w:unhideWhenUsed/>
    <w:qFormat/>
    <w:rsid w:val="00A8589D"/>
    <w:pPr>
      <w:spacing w:line="240" w:lineRule="auto"/>
      <w:ind w:left="0" w:firstLine="0"/>
      <w:outlineLvl w:val="4"/>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89D"/>
    <w:rPr>
      <w:rFonts w:ascii="Times New Roman" w:eastAsia="Times New Roman" w:hAnsi="Times New Roman" w:cs="Times New Roman"/>
      <w:b/>
      <w:bCs/>
      <w:color w:val="000000"/>
      <w:kern w:val="36"/>
      <w:sz w:val="48"/>
      <w:szCs w:val="48"/>
      <w:lang w:val="en-US"/>
    </w:rPr>
  </w:style>
  <w:style w:type="character" w:customStyle="1" w:styleId="Heading2Char">
    <w:name w:val="Heading 2 Char"/>
    <w:aliases w:val="Main Sub Heading Char"/>
    <w:basedOn w:val="DefaultParagraphFont"/>
    <w:link w:val="Heading2"/>
    <w:rsid w:val="00A8589D"/>
    <w:rPr>
      <w:rFonts w:asciiTheme="majorHAnsi" w:eastAsiaTheme="majorEastAsia" w:hAnsiTheme="majorHAnsi" w:cstheme="majorBidi"/>
      <w:b/>
      <w:bCs/>
      <w:color w:val="000000" w:themeColor="text1"/>
      <w:sz w:val="28"/>
      <w:szCs w:val="28"/>
      <w:lang w:val="en-US"/>
    </w:rPr>
  </w:style>
  <w:style w:type="character" w:customStyle="1" w:styleId="Heading3Char">
    <w:name w:val="Heading 3 Char"/>
    <w:aliases w:val="Figure Captions Char"/>
    <w:basedOn w:val="DefaultParagraphFont"/>
    <w:link w:val="Heading3"/>
    <w:rsid w:val="00A8589D"/>
    <w:rPr>
      <w:rFonts w:asciiTheme="majorHAnsi" w:eastAsiaTheme="majorEastAsia" w:hAnsiTheme="majorHAnsi" w:cstheme="majorBidi"/>
      <w:b/>
      <w:bCs/>
      <w:color w:val="000000" w:themeColor="text1"/>
      <w:sz w:val="20"/>
      <w:szCs w:val="20"/>
      <w:lang w:val="en-US"/>
    </w:rPr>
  </w:style>
  <w:style w:type="character" w:customStyle="1" w:styleId="Heading4Char">
    <w:name w:val="Heading 4 Char"/>
    <w:aliases w:val="2nd subheading Char"/>
    <w:basedOn w:val="DefaultParagraphFont"/>
    <w:link w:val="Heading4"/>
    <w:rsid w:val="00A8589D"/>
    <w:rPr>
      <w:rFonts w:asciiTheme="majorHAnsi" w:eastAsiaTheme="majorEastAsia" w:hAnsiTheme="majorHAnsi" w:cstheme="majorBidi"/>
      <w:b/>
      <w:bCs/>
      <w:i/>
      <w:iCs/>
      <w:color w:val="000000" w:themeColor="text1"/>
      <w:sz w:val="24"/>
      <w:szCs w:val="24"/>
      <w:lang w:val="en-US"/>
    </w:rPr>
  </w:style>
  <w:style w:type="paragraph" w:customStyle="1" w:styleId="TableHeading">
    <w:name w:val="Table Heading"/>
    <w:uiPriority w:val="99"/>
    <w:rsid w:val="00A8589D"/>
    <w:pPr>
      <w:tabs>
        <w:tab w:val="right" w:pos="8640"/>
      </w:tabs>
      <w:spacing w:after="0" w:line="312" w:lineRule="auto"/>
      <w:ind w:left="468" w:hanging="468"/>
    </w:pPr>
    <w:rPr>
      <w:rFonts w:ascii="Arial Narrow" w:eastAsia="?????? Pro W3" w:hAnsi="Arial Narrow" w:cs="Times New Roman"/>
      <w:b/>
      <w:color w:val="000000"/>
      <w:sz w:val="20"/>
      <w:szCs w:val="20"/>
      <w:lang w:val="en-US"/>
    </w:rPr>
  </w:style>
  <w:style w:type="character" w:customStyle="1" w:styleId="Heading5Char">
    <w:name w:val="Heading 5 Char"/>
    <w:aliases w:val="Table Caption Char"/>
    <w:basedOn w:val="DefaultParagraphFont"/>
    <w:link w:val="Heading5"/>
    <w:rsid w:val="00A8589D"/>
    <w:rPr>
      <w:rFonts w:ascii="Times New Roman" w:eastAsia="?????? Pro W3" w:hAnsi="Times New Roman" w:cs="Times New Roman"/>
      <w:b/>
      <w:color w:val="000000"/>
      <w:sz w:val="20"/>
      <w:szCs w:val="20"/>
      <w:lang w:val="en-US"/>
    </w:rPr>
  </w:style>
  <w:style w:type="paragraph" w:customStyle="1" w:styleId="Body">
    <w:name w:val="Body"/>
    <w:uiPriority w:val="99"/>
    <w:rsid w:val="00A8589D"/>
    <w:pPr>
      <w:spacing w:before="200" w:after="80" w:line="240" w:lineRule="auto"/>
    </w:pPr>
    <w:rPr>
      <w:rFonts w:ascii="Times New Roman" w:eastAsia="?????? Pro W3" w:hAnsi="Times New Roman" w:cs="Times New Roman"/>
      <w:color w:val="000000"/>
      <w:szCs w:val="20"/>
      <w:lang w:val="en-US"/>
    </w:rPr>
  </w:style>
  <w:style w:type="paragraph" w:styleId="ListParagraph">
    <w:name w:val="List Paragraph"/>
    <w:basedOn w:val="Normal"/>
    <w:uiPriority w:val="34"/>
    <w:qFormat/>
    <w:rsid w:val="00A8589D"/>
    <w:pPr>
      <w:ind w:left="720"/>
      <w:contextualSpacing/>
    </w:pPr>
  </w:style>
  <w:style w:type="paragraph" w:customStyle="1" w:styleId="Sub-heading">
    <w:name w:val="Sub-heading"/>
    <w:next w:val="Body"/>
    <w:uiPriority w:val="99"/>
    <w:rsid w:val="00A8589D"/>
    <w:pPr>
      <w:keepNext/>
      <w:spacing w:before="360" w:after="0" w:line="240" w:lineRule="auto"/>
    </w:pPr>
    <w:rPr>
      <w:rFonts w:ascii="Futura" w:eastAsia="?????? Pro W3" w:hAnsi="Futura" w:cs="Times New Roman"/>
      <w:color w:val="000000"/>
      <w:sz w:val="24"/>
      <w:szCs w:val="20"/>
      <w:lang w:val="en-US"/>
    </w:rPr>
  </w:style>
  <w:style w:type="paragraph" w:styleId="BodyTextIndent">
    <w:name w:val="Body Text Indent"/>
    <w:basedOn w:val="Normal"/>
    <w:link w:val="BodyTextIndentChar"/>
    <w:uiPriority w:val="99"/>
    <w:rsid w:val="00A8589D"/>
    <w:pPr>
      <w:spacing w:after="0"/>
      <w:ind w:firstLine="720"/>
    </w:pPr>
    <w:rPr>
      <w:rFonts w:eastAsia="Times New Roman"/>
    </w:rPr>
  </w:style>
  <w:style w:type="character" w:customStyle="1" w:styleId="BodyTextIndentChar">
    <w:name w:val="Body Text Indent Char"/>
    <w:basedOn w:val="DefaultParagraphFont"/>
    <w:link w:val="BodyTextIndent"/>
    <w:uiPriority w:val="99"/>
    <w:rsid w:val="00A8589D"/>
    <w:rPr>
      <w:rFonts w:ascii="Times New Roman" w:eastAsia="Times New Roman" w:hAnsi="Times New Roman" w:cs="Times New Roman"/>
      <w:color w:val="000000"/>
      <w:sz w:val="24"/>
      <w:szCs w:val="20"/>
      <w:lang w:val="en-US"/>
    </w:rPr>
  </w:style>
  <w:style w:type="character" w:customStyle="1" w:styleId="authors">
    <w:name w:val="authors"/>
    <w:basedOn w:val="DefaultParagraphFont"/>
    <w:uiPriority w:val="99"/>
    <w:rsid w:val="00A8589D"/>
    <w:rPr>
      <w:rFonts w:cs="Times New Roman"/>
    </w:rPr>
  </w:style>
  <w:style w:type="character" w:styleId="Emphasis">
    <w:name w:val="Emphasis"/>
    <w:basedOn w:val="DefaultParagraphFont"/>
    <w:uiPriority w:val="20"/>
    <w:qFormat/>
    <w:rsid w:val="00A8589D"/>
    <w:rPr>
      <w:rFonts w:cs="Times New Roman"/>
      <w:i/>
      <w:iCs/>
    </w:rPr>
  </w:style>
  <w:style w:type="character" w:styleId="Strong">
    <w:name w:val="Strong"/>
    <w:basedOn w:val="DefaultParagraphFont"/>
    <w:uiPriority w:val="22"/>
    <w:qFormat/>
    <w:rsid w:val="00A8589D"/>
    <w:rPr>
      <w:rFonts w:cs="Times New Roman"/>
      <w:b/>
      <w:bCs/>
    </w:rPr>
  </w:style>
  <w:style w:type="paragraph" w:styleId="Header">
    <w:name w:val="header"/>
    <w:basedOn w:val="Normal"/>
    <w:link w:val="HeaderChar"/>
    <w:uiPriority w:val="99"/>
    <w:rsid w:val="00A8589D"/>
    <w:pPr>
      <w:tabs>
        <w:tab w:val="center" w:pos="4320"/>
        <w:tab w:val="right" w:pos="8640"/>
      </w:tabs>
      <w:spacing w:after="0"/>
    </w:pPr>
    <w:rPr>
      <w:rFonts w:eastAsia="Times New Roman"/>
      <w:szCs w:val="24"/>
      <w:lang w:val="en-CA"/>
    </w:rPr>
  </w:style>
  <w:style w:type="character" w:customStyle="1" w:styleId="HeaderChar">
    <w:name w:val="Header Char"/>
    <w:basedOn w:val="DefaultParagraphFont"/>
    <w:link w:val="Header"/>
    <w:uiPriority w:val="99"/>
    <w:rsid w:val="00A8589D"/>
    <w:rPr>
      <w:rFonts w:ascii="Times New Roman" w:eastAsia="Times New Roman" w:hAnsi="Times New Roman" w:cs="Times New Roman"/>
      <w:color w:val="000000"/>
      <w:sz w:val="24"/>
      <w:szCs w:val="24"/>
    </w:rPr>
  </w:style>
  <w:style w:type="character" w:styleId="PageNumber">
    <w:name w:val="page number"/>
    <w:basedOn w:val="DefaultParagraphFont"/>
    <w:uiPriority w:val="99"/>
    <w:rsid w:val="00A8589D"/>
    <w:rPr>
      <w:rFonts w:cs="Times New Roman"/>
    </w:rPr>
  </w:style>
  <w:style w:type="paragraph" w:styleId="Footer">
    <w:name w:val="footer"/>
    <w:basedOn w:val="Normal"/>
    <w:link w:val="FooterChar"/>
    <w:uiPriority w:val="99"/>
    <w:rsid w:val="00A8589D"/>
    <w:pPr>
      <w:tabs>
        <w:tab w:val="center" w:pos="4320"/>
        <w:tab w:val="right" w:pos="8640"/>
      </w:tabs>
      <w:spacing w:after="0"/>
    </w:pPr>
    <w:rPr>
      <w:rFonts w:eastAsia="Times New Roman"/>
      <w:szCs w:val="24"/>
      <w:lang w:val="en-CA"/>
    </w:rPr>
  </w:style>
  <w:style w:type="character" w:customStyle="1" w:styleId="FooterChar">
    <w:name w:val="Footer Char"/>
    <w:basedOn w:val="DefaultParagraphFont"/>
    <w:link w:val="Footer"/>
    <w:uiPriority w:val="99"/>
    <w:rsid w:val="00A8589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rsid w:val="00A8589D"/>
    <w:rPr>
      <w:rFonts w:ascii="Tahoma" w:hAnsi="Tahoma" w:cs="Tahoma"/>
      <w:sz w:val="16"/>
      <w:szCs w:val="16"/>
    </w:rPr>
  </w:style>
  <w:style w:type="character" w:customStyle="1" w:styleId="BalloonTextChar">
    <w:name w:val="Balloon Text Char"/>
    <w:basedOn w:val="DefaultParagraphFont"/>
    <w:link w:val="BalloonText"/>
    <w:uiPriority w:val="99"/>
    <w:semiHidden/>
    <w:rsid w:val="00A8589D"/>
    <w:rPr>
      <w:rFonts w:ascii="Tahoma" w:eastAsia="?????? Pro W3" w:hAnsi="Tahoma" w:cs="Tahoma"/>
      <w:color w:val="000000"/>
      <w:sz w:val="16"/>
      <w:szCs w:val="16"/>
      <w:lang w:val="en-US"/>
    </w:rPr>
  </w:style>
  <w:style w:type="character" w:styleId="CommentReference">
    <w:name w:val="annotation reference"/>
    <w:basedOn w:val="DefaultParagraphFont"/>
    <w:uiPriority w:val="99"/>
    <w:semiHidden/>
    <w:rsid w:val="00A8589D"/>
    <w:rPr>
      <w:rFonts w:cs="Times New Roman"/>
      <w:sz w:val="16"/>
      <w:szCs w:val="16"/>
    </w:rPr>
  </w:style>
  <w:style w:type="paragraph" w:styleId="CommentText">
    <w:name w:val="annotation text"/>
    <w:basedOn w:val="Normal"/>
    <w:link w:val="CommentTextChar"/>
    <w:uiPriority w:val="99"/>
    <w:semiHidden/>
    <w:rsid w:val="00A8589D"/>
    <w:rPr>
      <w:sz w:val="20"/>
    </w:rPr>
  </w:style>
  <w:style w:type="character" w:customStyle="1" w:styleId="CommentTextChar">
    <w:name w:val="Comment Text Char"/>
    <w:basedOn w:val="DefaultParagraphFont"/>
    <w:link w:val="CommentText"/>
    <w:uiPriority w:val="99"/>
    <w:semiHidden/>
    <w:rsid w:val="00A8589D"/>
    <w:rPr>
      <w:rFonts w:ascii="Times New Roman" w:eastAsia="?????? Pro W3"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A8589D"/>
    <w:rPr>
      <w:rFonts w:ascii="Times New Roman" w:eastAsia="?????? Pro W3"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rsid w:val="00A8589D"/>
    <w:rPr>
      <w:b/>
      <w:bCs/>
    </w:rPr>
  </w:style>
  <w:style w:type="paragraph" w:styleId="EndnoteText">
    <w:name w:val="endnote text"/>
    <w:basedOn w:val="Normal"/>
    <w:link w:val="EndnoteTextChar"/>
    <w:uiPriority w:val="99"/>
    <w:unhideWhenUsed/>
    <w:rsid w:val="00A8589D"/>
    <w:pPr>
      <w:spacing w:after="0"/>
    </w:pPr>
    <w:rPr>
      <w:szCs w:val="24"/>
    </w:rPr>
  </w:style>
  <w:style w:type="character" w:customStyle="1" w:styleId="EndnoteTextChar">
    <w:name w:val="Endnote Text Char"/>
    <w:basedOn w:val="DefaultParagraphFont"/>
    <w:link w:val="EndnoteText"/>
    <w:uiPriority w:val="99"/>
    <w:rsid w:val="00A8589D"/>
    <w:rPr>
      <w:rFonts w:ascii="Times New Roman" w:eastAsia="?????? Pro W3" w:hAnsi="Times New Roman" w:cs="Times New Roman"/>
      <w:color w:val="000000"/>
      <w:sz w:val="24"/>
      <w:szCs w:val="24"/>
      <w:lang w:val="en-US"/>
    </w:rPr>
  </w:style>
  <w:style w:type="character" w:styleId="EndnoteReference">
    <w:name w:val="endnote reference"/>
    <w:basedOn w:val="DefaultParagraphFont"/>
    <w:uiPriority w:val="99"/>
    <w:unhideWhenUsed/>
    <w:rsid w:val="00A8589D"/>
    <w:rPr>
      <w:vertAlign w:val="superscript"/>
    </w:rPr>
  </w:style>
  <w:style w:type="paragraph" w:styleId="Title">
    <w:name w:val="Title"/>
    <w:basedOn w:val="Normal"/>
    <w:next w:val="Normal"/>
    <w:link w:val="TitleChar"/>
    <w:qFormat/>
    <w:rsid w:val="00A8589D"/>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8589D"/>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aliases w:val="Authors"/>
    <w:basedOn w:val="Normal"/>
    <w:next w:val="Normal"/>
    <w:link w:val="SubtitleChar"/>
    <w:qFormat/>
    <w:rsid w:val="00A8589D"/>
    <w:pPr>
      <w:numPr>
        <w:ilvl w:val="1"/>
      </w:numPr>
      <w:spacing w:after="0"/>
    </w:pPr>
    <w:rPr>
      <w:rFonts w:asciiTheme="majorHAnsi" w:eastAsiaTheme="majorEastAsia" w:hAnsiTheme="majorHAnsi" w:cstheme="majorBidi"/>
      <w:bCs/>
      <w:i/>
      <w:iCs/>
      <w:color w:val="000000" w:themeColor="text1"/>
      <w:szCs w:val="24"/>
    </w:rPr>
  </w:style>
  <w:style w:type="character" w:customStyle="1" w:styleId="SubtitleChar">
    <w:name w:val="Subtitle Char"/>
    <w:aliases w:val="Authors Char"/>
    <w:basedOn w:val="DefaultParagraphFont"/>
    <w:link w:val="Subtitle"/>
    <w:rsid w:val="00A8589D"/>
    <w:rPr>
      <w:rFonts w:asciiTheme="majorHAnsi" w:eastAsiaTheme="majorEastAsia" w:hAnsiTheme="majorHAnsi" w:cstheme="majorBidi"/>
      <w:bCs/>
      <w:i/>
      <w:iCs/>
      <w:color w:val="000000" w:themeColor="text1"/>
      <w:sz w:val="24"/>
      <w:szCs w:val="24"/>
      <w:lang w:val="en-US"/>
    </w:rPr>
  </w:style>
  <w:style w:type="paragraph" w:styleId="FootnoteText">
    <w:name w:val="footnote text"/>
    <w:basedOn w:val="Normal"/>
    <w:link w:val="FootnoteTextChar"/>
    <w:uiPriority w:val="99"/>
    <w:unhideWhenUsed/>
    <w:rsid w:val="00A8589D"/>
    <w:pPr>
      <w:spacing w:after="0"/>
    </w:pPr>
    <w:rPr>
      <w:szCs w:val="24"/>
    </w:rPr>
  </w:style>
  <w:style w:type="character" w:customStyle="1" w:styleId="FootnoteTextChar">
    <w:name w:val="Footnote Text Char"/>
    <w:basedOn w:val="DefaultParagraphFont"/>
    <w:link w:val="FootnoteText"/>
    <w:uiPriority w:val="99"/>
    <w:rsid w:val="00A8589D"/>
    <w:rPr>
      <w:rFonts w:ascii="Times New Roman" w:eastAsia="?????? Pro W3" w:hAnsi="Times New Roman" w:cs="Times New Roman"/>
      <w:color w:val="000000"/>
      <w:sz w:val="24"/>
      <w:szCs w:val="24"/>
      <w:lang w:val="en-US"/>
    </w:rPr>
  </w:style>
  <w:style w:type="character" w:styleId="FootnoteReference">
    <w:name w:val="footnote reference"/>
    <w:basedOn w:val="DefaultParagraphFont"/>
    <w:uiPriority w:val="99"/>
    <w:unhideWhenUsed/>
    <w:rsid w:val="00A8589D"/>
    <w:rPr>
      <w:vertAlign w:val="superscript"/>
    </w:rPr>
  </w:style>
  <w:style w:type="table" w:styleId="LightShading">
    <w:name w:val="Light Shading"/>
    <w:basedOn w:val="TableNormal"/>
    <w:uiPriority w:val="60"/>
    <w:rsid w:val="00A8589D"/>
    <w:pPr>
      <w:spacing w:after="0" w:line="240" w:lineRule="auto"/>
    </w:pPr>
    <w:rPr>
      <w:rFonts w:ascii="Calibri" w:eastAsia="Calibri" w:hAnsi="Calibri"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ference">
    <w:name w:val="Reference"/>
    <w:basedOn w:val="Normal"/>
    <w:rsid w:val="00A8589D"/>
    <w:pPr>
      <w:spacing w:after="0"/>
      <w:ind w:left="720" w:hanging="720"/>
    </w:pPr>
    <w:rPr>
      <w:rFonts w:eastAsia="Times New Roman"/>
      <w:color w:val="auto"/>
      <w:szCs w:val="24"/>
    </w:rPr>
  </w:style>
  <w:style w:type="character" w:customStyle="1" w:styleId="DocumentMapChar">
    <w:name w:val="Document Map Char"/>
    <w:basedOn w:val="DefaultParagraphFont"/>
    <w:link w:val="DocumentMap"/>
    <w:uiPriority w:val="99"/>
    <w:semiHidden/>
    <w:rsid w:val="00A8589D"/>
    <w:rPr>
      <w:rFonts w:ascii="Lucida Grande" w:eastAsia="?????? Pro W3" w:hAnsi="Lucida Grande" w:cs="Lucida Grande"/>
      <w:color w:val="000000"/>
      <w:sz w:val="24"/>
      <w:szCs w:val="24"/>
      <w:lang w:val="en-US"/>
    </w:rPr>
  </w:style>
  <w:style w:type="paragraph" w:styleId="DocumentMap">
    <w:name w:val="Document Map"/>
    <w:basedOn w:val="Normal"/>
    <w:link w:val="DocumentMapChar"/>
    <w:uiPriority w:val="99"/>
    <w:semiHidden/>
    <w:unhideWhenUsed/>
    <w:rsid w:val="00A8589D"/>
    <w:pPr>
      <w:spacing w:after="0"/>
    </w:pPr>
    <w:rPr>
      <w:rFonts w:ascii="Lucida Grande" w:hAnsi="Lucida Grande" w:cs="Lucida Grande"/>
      <w:szCs w:val="24"/>
    </w:rPr>
  </w:style>
  <w:style w:type="paragraph" w:styleId="Revision">
    <w:name w:val="Revision"/>
    <w:hidden/>
    <w:uiPriority w:val="99"/>
    <w:semiHidden/>
    <w:rsid w:val="00B47ED8"/>
    <w:pPr>
      <w:spacing w:after="0" w:line="240" w:lineRule="auto"/>
    </w:pPr>
    <w:rPr>
      <w:rFonts w:ascii="Times New Roman" w:eastAsia="?????? Pro W3" w:hAnsi="Times New Roman" w:cs="Times New Roman"/>
      <w:color w:val="000000"/>
      <w:sz w:val="24"/>
      <w:szCs w:val="20"/>
      <w:lang w:val="en-US"/>
    </w:rPr>
  </w:style>
  <w:style w:type="character" w:customStyle="1" w:styleId="apple-converted-space">
    <w:name w:val="apple-converted-space"/>
    <w:basedOn w:val="DefaultParagraphFont"/>
    <w:rsid w:val="00193663"/>
  </w:style>
  <w:style w:type="character" w:styleId="Hyperlink">
    <w:name w:val="Hyperlink"/>
    <w:basedOn w:val="DefaultParagraphFont"/>
    <w:uiPriority w:val="99"/>
    <w:unhideWhenUsed/>
    <w:rsid w:val="00BE07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89D"/>
    <w:pPr>
      <w:spacing w:after="120" w:line="240" w:lineRule="auto"/>
    </w:pPr>
    <w:rPr>
      <w:rFonts w:ascii="Times New Roman" w:eastAsia="?????? Pro W3" w:hAnsi="Times New Roman" w:cs="Times New Roman"/>
      <w:color w:val="000000"/>
      <w:sz w:val="24"/>
      <w:szCs w:val="20"/>
      <w:lang w:val="en-US"/>
    </w:rPr>
  </w:style>
  <w:style w:type="paragraph" w:styleId="Heading1">
    <w:name w:val="heading 1"/>
    <w:basedOn w:val="Normal"/>
    <w:link w:val="Heading1Char"/>
    <w:uiPriority w:val="99"/>
    <w:qFormat/>
    <w:rsid w:val="00A8589D"/>
    <w:pPr>
      <w:spacing w:before="100" w:beforeAutospacing="1" w:after="100" w:afterAutospacing="1"/>
      <w:outlineLvl w:val="0"/>
    </w:pPr>
    <w:rPr>
      <w:rFonts w:eastAsia="Times New Roman"/>
      <w:b/>
      <w:bCs/>
      <w:kern w:val="36"/>
      <w:sz w:val="48"/>
      <w:szCs w:val="48"/>
    </w:rPr>
  </w:style>
  <w:style w:type="paragraph" w:styleId="Heading2">
    <w:name w:val="heading 2"/>
    <w:aliases w:val="Main Sub Heading"/>
    <w:basedOn w:val="Normal"/>
    <w:next w:val="Normal"/>
    <w:link w:val="Heading2Char"/>
    <w:unhideWhenUsed/>
    <w:qFormat/>
    <w:rsid w:val="00A8589D"/>
    <w:pPr>
      <w:keepNext/>
      <w:keepLines/>
      <w:spacing w:before="200" w:after="0"/>
      <w:outlineLvl w:val="1"/>
    </w:pPr>
    <w:rPr>
      <w:rFonts w:asciiTheme="majorHAnsi" w:eastAsiaTheme="majorEastAsia" w:hAnsiTheme="majorHAnsi" w:cstheme="majorBidi"/>
      <w:b/>
      <w:bCs/>
      <w:color w:val="000000" w:themeColor="text1"/>
      <w:sz w:val="28"/>
      <w:szCs w:val="28"/>
    </w:rPr>
  </w:style>
  <w:style w:type="paragraph" w:styleId="Heading3">
    <w:name w:val="heading 3"/>
    <w:aliases w:val="Figure Captions"/>
    <w:basedOn w:val="Normal"/>
    <w:next w:val="Normal"/>
    <w:link w:val="Heading3Char"/>
    <w:unhideWhenUsed/>
    <w:qFormat/>
    <w:rsid w:val="00A8589D"/>
    <w:pPr>
      <w:keepNext/>
      <w:keepLines/>
      <w:spacing w:before="200" w:after="0"/>
      <w:outlineLvl w:val="2"/>
    </w:pPr>
    <w:rPr>
      <w:rFonts w:asciiTheme="majorHAnsi" w:eastAsiaTheme="majorEastAsia" w:hAnsiTheme="majorHAnsi" w:cstheme="majorBidi"/>
      <w:b/>
      <w:bCs/>
      <w:color w:val="000000" w:themeColor="text1"/>
      <w:sz w:val="20"/>
    </w:rPr>
  </w:style>
  <w:style w:type="paragraph" w:styleId="Heading4">
    <w:name w:val="heading 4"/>
    <w:aliases w:val="2nd subheading"/>
    <w:basedOn w:val="Normal"/>
    <w:next w:val="Normal"/>
    <w:link w:val="Heading4Char"/>
    <w:unhideWhenUsed/>
    <w:qFormat/>
    <w:rsid w:val="00A8589D"/>
    <w:pPr>
      <w:keepNext/>
      <w:keepLines/>
      <w:spacing w:before="200" w:after="0"/>
      <w:outlineLvl w:val="3"/>
    </w:pPr>
    <w:rPr>
      <w:rFonts w:asciiTheme="majorHAnsi" w:eastAsiaTheme="majorEastAsia" w:hAnsiTheme="majorHAnsi" w:cstheme="majorBidi"/>
      <w:b/>
      <w:bCs/>
      <w:i/>
      <w:iCs/>
      <w:color w:val="000000" w:themeColor="text1"/>
      <w:szCs w:val="24"/>
    </w:rPr>
  </w:style>
  <w:style w:type="paragraph" w:styleId="Heading5">
    <w:name w:val="heading 5"/>
    <w:aliases w:val="Table Caption"/>
    <w:basedOn w:val="TableHeading"/>
    <w:next w:val="Normal"/>
    <w:link w:val="Heading5Char"/>
    <w:unhideWhenUsed/>
    <w:qFormat/>
    <w:rsid w:val="00A8589D"/>
    <w:pPr>
      <w:spacing w:line="240" w:lineRule="auto"/>
      <w:ind w:left="0" w:firstLine="0"/>
      <w:outlineLvl w:val="4"/>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89D"/>
    <w:rPr>
      <w:rFonts w:ascii="Times New Roman" w:eastAsia="Times New Roman" w:hAnsi="Times New Roman" w:cs="Times New Roman"/>
      <w:b/>
      <w:bCs/>
      <w:color w:val="000000"/>
      <w:kern w:val="36"/>
      <w:sz w:val="48"/>
      <w:szCs w:val="48"/>
      <w:lang w:val="en-US"/>
    </w:rPr>
  </w:style>
  <w:style w:type="character" w:customStyle="1" w:styleId="Heading2Char">
    <w:name w:val="Heading 2 Char"/>
    <w:aliases w:val="Main Sub Heading Char"/>
    <w:basedOn w:val="DefaultParagraphFont"/>
    <w:link w:val="Heading2"/>
    <w:rsid w:val="00A8589D"/>
    <w:rPr>
      <w:rFonts w:asciiTheme="majorHAnsi" w:eastAsiaTheme="majorEastAsia" w:hAnsiTheme="majorHAnsi" w:cstheme="majorBidi"/>
      <w:b/>
      <w:bCs/>
      <w:color w:val="000000" w:themeColor="text1"/>
      <w:sz w:val="28"/>
      <w:szCs w:val="28"/>
      <w:lang w:val="en-US"/>
    </w:rPr>
  </w:style>
  <w:style w:type="character" w:customStyle="1" w:styleId="Heading3Char">
    <w:name w:val="Heading 3 Char"/>
    <w:aliases w:val="Figure Captions Char"/>
    <w:basedOn w:val="DefaultParagraphFont"/>
    <w:link w:val="Heading3"/>
    <w:rsid w:val="00A8589D"/>
    <w:rPr>
      <w:rFonts w:asciiTheme="majorHAnsi" w:eastAsiaTheme="majorEastAsia" w:hAnsiTheme="majorHAnsi" w:cstheme="majorBidi"/>
      <w:b/>
      <w:bCs/>
      <w:color w:val="000000" w:themeColor="text1"/>
      <w:sz w:val="20"/>
      <w:szCs w:val="20"/>
      <w:lang w:val="en-US"/>
    </w:rPr>
  </w:style>
  <w:style w:type="character" w:customStyle="1" w:styleId="Heading4Char">
    <w:name w:val="Heading 4 Char"/>
    <w:aliases w:val="2nd subheading Char"/>
    <w:basedOn w:val="DefaultParagraphFont"/>
    <w:link w:val="Heading4"/>
    <w:rsid w:val="00A8589D"/>
    <w:rPr>
      <w:rFonts w:asciiTheme="majorHAnsi" w:eastAsiaTheme="majorEastAsia" w:hAnsiTheme="majorHAnsi" w:cstheme="majorBidi"/>
      <w:b/>
      <w:bCs/>
      <w:i/>
      <w:iCs/>
      <w:color w:val="000000" w:themeColor="text1"/>
      <w:sz w:val="24"/>
      <w:szCs w:val="24"/>
      <w:lang w:val="en-US"/>
    </w:rPr>
  </w:style>
  <w:style w:type="paragraph" w:customStyle="1" w:styleId="TableHeading">
    <w:name w:val="Table Heading"/>
    <w:uiPriority w:val="99"/>
    <w:rsid w:val="00A8589D"/>
    <w:pPr>
      <w:tabs>
        <w:tab w:val="right" w:pos="8640"/>
      </w:tabs>
      <w:spacing w:after="0" w:line="312" w:lineRule="auto"/>
      <w:ind w:left="468" w:hanging="468"/>
    </w:pPr>
    <w:rPr>
      <w:rFonts w:ascii="Arial Narrow" w:eastAsia="?????? Pro W3" w:hAnsi="Arial Narrow" w:cs="Times New Roman"/>
      <w:b/>
      <w:color w:val="000000"/>
      <w:sz w:val="20"/>
      <w:szCs w:val="20"/>
      <w:lang w:val="en-US"/>
    </w:rPr>
  </w:style>
  <w:style w:type="character" w:customStyle="1" w:styleId="Heading5Char">
    <w:name w:val="Heading 5 Char"/>
    <w:aliases w:val="Table Caption Char"/>
    <w:basedOn w:val="DefaultParagraphFont"/>
    <w:link w:val="Heading5"/>
    <w:rsid w:val="00A8589D"/>
    <w:rPr>
      <w:rFonts w:ascii="Times New Roman" w:eastAsia="?????? Pro W3" w:hAnsi="Times New Roman" w:cs="Times New Roman"/>
      <w:b/>
      <w:color w:val="000000"/>
      <w:sz w:val="20"/>
      <w:szCs w:val="20"/>
      <w:lang w:val="en-US"/>
    </w:rPr>
  </w:style>
  <w:style w:type="paragraph" w:customStyle="1" w:styleId="Body">
    <w:name w:val="Body"/>
    <w:uiPriority w:val="99"/>
    <w:rsid w:val="00A8589D"/>
    <w:pPr>
      <w:spacing w:before="200" w:after="80" w:line="240" w:lineRule="auto"/>
    </w:pPr>
    <w:rPr>
      <w:rFonts w:ascii="Times New Roman" w:eastAsia="?????? Pro W3" w:hAnsi="Times New Roman" w:cs="Times New Roman"/>
      <w:color w:val="000000"/>
      <w:szCs w:val="20"/>
      <w:lang w:val="en-US"/>
    </w:rPr>
  </w:style>
  <w:style w:type="paragraph" w:styleId="ListParagraph">
    <w:name w:val="List Paragraph"/>
    <w:basedOn w:val="Normal"/>
    <w:uiPriority w:val="34"/>
    <w:qFormat/>
    <w:rsid w:val="00A8589D"/>
    <w:pPr>
      <w:ind w:left="720"/>
      <w:contextualSpacing/>
    </w:pPr>
  </w:style>
  <w:style w:type="paragraph" w:customStyle="1" w:styleId="Sub-heading">
    <w:name w:val="Sub-heading"/>
    <w:next w:val="Body"/>
    <w:uiPriority w:val="99"/>
    <w:rsid w:val="00A8589D"/>
    <w:pPr>
      <w:keepNext/>
      <w:spacing w:before="360" w:after="0" w:line="240" w:lineRule="auto"/>
    </w:pPr>
    <w:rPr>
      <w:rFonts w:ascii="Futura" w:eastAsia="?????? Pro W3" w:hAnsi="Futura" w:cs="Times New Roman"/>
      <w:color w:val="000000"/>
      <w:sz w:val="24"/>
      <w:szCs w:val="20"/>
      <w:lang w:val="en-US"/>
    </w:rPr>
  </w:style>
  <w:style w:type="paragraph" w:styleId="BodyTextIndent">
    <w:name w:val="Body Text Indent"/>
    <w:basedOn w:val="Normal"/>
    <w:link w:val="BodyTextIndentChar"/>
    <w:uiPriority w:val="99"/>
    <w:rsid w:val="00A8589D"/>
    <w:pPr>
      <w:spacing w:after="0"/>
      <w:ind w:firstLine="720"/>
    </w:pPr>
    <w:rPr>
      <w:rFonts w:eastAsia="Times New Roman"/>
    </w:rPr>
  </w:style>
  <w:style w:type="character" w:customStyle="1" w:styleId="BodyTextIndentChar">
    <w:name w:val="Body Text Indent Char"/>
    <w:basedOn w:val="DefaultParagraphFont"/>
    <w:link w:val="BodyTextIndent"/>
    <w:uiPriority w:val="99"/>
    <w:rsid w:val="00A8589D"/>
    <w:rPr>
      <w:rFonts w:ascii="Times New Roman" w:eastAsia="Times New Roman" w:hAnsi="Times New Roman" w:cs="Times New Roman"/>
      <w:color w:val="000000"/>
      <w:sz w:val="24"/>
      <w:szCs w:val="20"/>
      <w:lang w:val="en-US"/>
    </w:rPr>
  </w:style>
  <w:style w:type="character" w:customStyle="1" w:styleId="authors">
    <w:name w:val="authors"/>
    <w:basedOn w:val="DefaultParagraphFont"/>
    <w:uiPriority w:val="99"/>
    <w:rsid w:val="00A8589D"/>
    <w:rPr>
      <w:rFonts w:cs="Times New Roman"/>
    </w:rPr>
  </w:style>
  <w:style w:type="character" w:styleId="Emphasis">
    <w:name w:val="Emphasis"/>
    <w:basedOn w:val="DefaultParagraphFont"/>
    <w:uiPriority w:val="20"/>
    <w:qFormat/>
    <w:rsid w:val="00A8589D"/>
    <w:rPr>
      <w:rFonts w:cs="Times New Roman"/>
      <w:i/>
      <w:iCs/>
    </w:rPr>
  </w:style>
  <w:style w:type="character" w:styleId="Strong">
    <w:name w:val="Strong"/>
    <w:basedOn w:val="DefaultParagraphFont"/>
    <w:uiPriority w:val="22"/>
    <w:qFormat/>
    <w:rsid w:val="00A8589D"/>
    <w:rPr>
      <w:rFonts w:cs="Times New Roman"/>
      <w:b/>
      <w:bCs/>
    </w:rPr>
  </w:style>
  <w:style w:type="paragraph" w:styleId="Header">
    <w:name w:val="header"/>
    <w:basedOn w:val="Normal"/>
    <w:link w:val="HeaderChar"/>
    <w:uiPriority w:val="99"/>
    <w:rsid w:val="00A8589D"/>
    <w:pPr>
      <w:tabs>
        <w:tab w:val="center" w:pos="4320"/>
        <w:tab w:val="right" w:pos="8640"/>
      </w:tabs>
      <w:spacing w:after="0"/>
    </w:pPr>
    <w:rPr>
      <w:rFonts w:eastAsia="Times New Roman"/>
      <w:szCs w:val="24"/>
      <w:lang w:val="en-CA"/>
    </w:rPr>
  </w:style>
  <w:style w:type="character" w:customStyle="1" w:styleId="HeaderChar">
    <w:name w:val="Header Char"/>
    <w:basedOn w:val="DefaultParagraphFont"/>
    <w:link w:val="Header"/>
    <w:uiPriority w:val="99"/>
    <w:rsid w:val="00A8589D"/>
    <w:rPr>
      <w:rFonts w:ascii="Times New Roman" w:eastAsia="Times New Roman" w:hAnsi="Times New Roman" w:cs="Times New Roman"/>
      <w:color w:val="000000"/>
      <w:sz w:val="24"/>
      <w:szCs w:val="24"/>
    </w:rPr>
  </w:style>
  <w:style w:type="character" w:styleId="PageNumber">
    <w:name w:val="page number"/>
    <w:basedOn w:val="DefaultParagraphFont"/>
    <w:uiPriority w:val="99"/>
    <w:rsid w:val="00A8589D"/>
    <w:rPr>
      <w:rFonts w:cs="Times New Roman"/>
    </w:rPr>
  </w:style>
  <w:style w:type="paragraph" w:styleId="Footer">
    <w:name w:val="footer"/>
    <w:basedOn w:val="Normal"/>
    <w:link w:val="FooterChar"/>
    <w:uiPriority w:val="99"/>
    <w:rsid w:val="00A8589D"/>
    <w:pPr>
      <w:tabs>
        <w:tab w:val="center" w:pos="4320"/>
        <w:tab w:val="right" w:pos="8640"/>
      </w:tabs>
      <w:spacing w:after="0"/>
    </w:pPr>
    <w:rPr>
      <w:rFonts w:eastAsia="Times New Roman"/>
      <w:szCs w:val="24"/>
      <w:lang w:val="en-CA"/>
    </w:rPr>
  </w:style>
  <w:style w:type="character" w:customStyle="1" w:styleId="FooterChar">
    <w:name w:val="Footer Char"/>
    <w:basedOn w:val="DefaultParagraphFont"/>
    <w:link w:val="Footer"/>
    <w:uiPriority w:val="99"/>
    <w:rsid w:val="00A8589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rsid w:val="00A8589D"/>
    <w:rPr>
      <w:rFonts w:ascii="Tahoma" w:hAnsi="Tahoma" w:cs="Tahoma"/>
      <w:sz w:val="16"/>
      <w:szCs w:val="16"/>
    </w:rPr>
  </w:style>
  <w:style w:type="character" w:customStyle="1" w:styleId="BalloonTextChar">
    <w:name w:val="Balloon Text Char"/>
    <w:basedOn w:val="DefaultParagraphFont"/>
    <w:link w:val="BalloonText"/>
    <w:uiPriority w:val="99"/>
    <w:semiHidden/>
    <w:rsid w:val="00A8589D"/>
    <w:rPr>
      <w:rFonts w:ascii="Tahoma" w:eastAsia="?????? Pro W3" w:hAnsi="Tahoma" w:cs="Tahoma"/>
      <w:color w:val="000000"/>
      <w:sz w:val="16"/>
      <w:szCs w:val="16"/>
      <w:lang w:val="en-US"/>
    </w:rPr>
  </w:style>
  <w:style w:type="character" w:styleId="CommentReference">
    <w:name w:val="annotation reference"/>
    <w:basedOn w:val="DefaultParagraphFont"/>
    <w:uiPriority w:val="99"/>
    <w:semiHidden/>
    <w:rsid w:val="00A8589D"/>
    <w:rPr>
      <w:rFonts w:cs="Times New Roman"/>
      <w:sz w:val="16"/>
      <w:szCs w:val="16"/>
    </w:rPr>
  </w:style>
  <w:style w:type="paragraph" w:styleId="CommentText">
    <w:name w:val="annotation text"/>
    <w:basedOn w:val="Normal"/>
    <w:link w:val="CommentTextChar"/>
    <w:uiPriority w:val="99"/>
    <w:semiHidden/>
    <w:rsid w:val="00A8589D"/>
    <w:rPr>
      <w:sz w:val="20"/>
    </w:rPr>
  </w:style>
  <w:style w:type="character" w:customStyle="1" w:styleId="CommentTextChar">
    <w:name w:val="Comment Text Char"/>
    <w:basedOn w:val="DefaultParagraphFont"/>
    <w:link w:val="CommentText"/>
    <w:uiPriority w:val="99"/>
    <w:semiHidden/>
    <w:rsid w:val="00A8589D"/>
    <w:rPr>
      <w:rFonts w:ascii="Times New Roman" w:eastAsia="?????? Pro W3"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A8589D"/>
    <w:rPr>
      <w:rFonts w:ascii="Times New Roman" w:eastAsia="?????? Pro W3"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rsid w:val="00A8589D"/>
    <w:rPr>
      <w:b/>
      <w:bCs/>
    </w:rPr>
  </w:style>
  <w:style w:type="paragraph" w:styleId="EndnoteText">
    <w:name w:val="endnote text"/>
    <w:basedOn w:val="Normal"/>
    <w:link w:val="EndnoteTextChar"/>
    <w:uiPriority w:val="99"/>
    <w:unhideWhenUsed/>
    <w:rsid w:val="00A8589D"/>
    <w:pPr>
      <w:spacing w:after="0"/>
    </w:pPr>
    <w:rPr>
      <w:szCs w:val="24"/>
    </w:rPr>
  </w:style>
  <w:style w:type="character" w:customStyle="1" w:styleId="EndnoteTextChar">
    <w:name w:val="Endnote Text Char"/>
    <w:basedOn w:val="DefaultParagraphFont"/>
    <w:link w:val="EndnoteText"/>
    <w:uiPriority w:val="99"/>
    <w:rsid w:val="00A8589D"/>
    <w:rPr>
      <w:rFonts w:ascii="Times New Roman" w:eastAsia="?????? Pro W3" w:hAnsi="Times New Roman" w:cs="Times New Roman"/>
      <w:color w:val="000000"/>
      <w:sz w:val="24"/>
      <w:szCs w:val="24"/>
      <w:lang w:val="en-US"/>
    </w:rPr>
  </w:style>
  <w:style w:type="character" w:styleId="EndnoteReference">
    <w:name w:val="endnote reference"/>
    <w:basedOn w:val="DefaultParagraphFont"/>
    <w:uiPriority w:val="99"/>
    <w:unhideWhenUsed/>
    <w:rsid w:val="00A8589D"/>
    <w:rPr>
      <w:vertAlign w:val="superscript"/>
    </w:rPr>
  </w:style>
  <w:style w:type="paragraph" w:styleId="Title">
    <w:name w:val="Title"/>
    <w:basedOn w:val="Normal"/>
    <w:next w:val="Normal"/>
    <w:link w:val="TitleChar"/>
    <w:qFormat/>
    <w:rsid w:val="00A8589D"/>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8589D"/>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aliases w:val="Authors"/>
    <w:basedOn w:val="Normal"/>
    <w:next w:val="Normal"/>
    <w:link w:val="SubtitleChar"/>
    <w:qFormat/>
    <w:rsid w:val="00A8589D"/>
    <w:pPr>
      <w:numPr>
        <w:ilvl w:val="1"/>
      </w:numPr>
      <w:spacing w:after="0"/>
    </w:pPr>
    <w:rPr>
      <w:rFonts w:asciiTheme="majorHAnsi" w:eastAsiaTheme="majorEastAsia" w:hAnsiTheme="majorHAnsi" w:cstheme="majorBidi"/>
      <w:bCs/>
      <w:i/>
      <w:iCs/>
      <w:color w:val="000000" w:themeColor="text1"/>
      <w:szCs w:val="24"/>
    </w:rPr>
  </w:style>
  <w:style w:type="character" w:customStyle="1" w:styleId="SubtitleChar">
    <w:name w:val="Subtitle Char"/>
    <w:aliases w:val="Authors Char"/>
    <w:basedOn w:val="DefaultParagraphFont"/>
    <w:link w:val="Subtitle"/>
    <w:rsid w:val="00A8589D"/>
    <w:rPr>
      <w:rFonts w:asciiTheme="majorHAnsi" w:eastAsiaTheme="majorEastAsia" w:hAnsiTheme="majorHAnsi" w:cstheme="majorBidi"/>
      <w:bCs/>
      <w:i/>
      <w:iCs/>
      <w:color w:val="000000" w:themeColor="text1"/>
      <w:sz w:val="24"/>
      <w:szCs w:val="24"/>
      <w:lang w:val="en-US"/>
    </w:rPr>
  </w:style>
  <w:style w:type="paragraph" w:styleId="FootnoteText">
    <w:name w:val="footnote text"/>
    <w:basedOn w:val="Normal"/>
    <w:link w:val="FootnoteTextChar"/>
    <w:uiPriority w:val="99"/>
    <w:unhideWhenUsed/>
    <w:rsid w:val="00A8589D"/>
    <w:pPr>
      <w:spacing w:after="0"/>
    </w:pPr>
    <w:rPr>
      <w:szCs w:val="24"/>
    </w:rPr>
  </w:style>
  <w:style w:type="character" w:customStyle="1" w:styleId="FootnoteTextChar">
    <w:name w:val="Footnote Text Char"/>
    <w:basedOn w:val="DefaultParagraphFont"/>
    <w:link w:val="FootnoteText"/>
    <w:uiPriority w:val="99"/>
    <w:rsid w:val="00A8589D"/>
    <w:rPr>
      <w:rFonts w:ascii="Times New Roman" w:eastAsia="?????? Pro W3" w:hAnsi="Times New Roman" w:cs="Times New Roman"/>
      <w:color w:val="000000"/>
      <w:sz w:val="24"/>
      <w:szCs w:val="24"/>
      <w:lang w:val="en-US"/>
    </w:rPr>
  </w:style>
  <w:style w:type="character" w:styleId="FootnoteReference">
    <w:name w:val="footnote reference"/>
    <w:basedOn w:val="DefaultParagraphFont"/>
    <w:uiPriority w:val="99"/>
    <w:unhideWhenUsed/>
    <w:rsid w:val="00A8589D"/>
    <w:rPr>
      <w:vertAlign w:val="superscript"/>
    </w:rPr>
  </w:style>
  <w:style w:type="table" w:styleId="LightShading">
    <w:name w:val="Light Shading"/>
    <w:basedOn w:val="TableNormal"/>
    <w:uiPriority w:val="60"/>
    <w:rsid w:val="00A8589D"/>
    <w:pPr>
      <w:spacing w:after="0" w:line="240" w:lineRule="auto"/>
    </w:pPr>
    <w:rPr>
      <w:rFonts w:ascii="Calibri" w:eastAsia="Calibri" w:hAnsi="Calibri"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ference">
    <w:name w:val="Reference"/>
    <w:basedOn w:val="Normal"/>
    <w:rsid w:val="00A8589D"/>
    <w:pPr>
      <w:spacing w:after="0"/>
      <w:ind w:left="720" w:hanging="720"/>
    </w:pPr>
    <w:rPr>
      <w:rFonts w:eastAsia="Times New Roman"/>
      <w:color w:val="auto"/>
      <w:szCs w:val="24"/>
    </w:rPr>
  </w:style>
  <w:style w:type="character" w:customStyle="1" w:styleId="DocumentMapChar">
    <w:name w:val="Document Map Char"/>
    <w:basedOn w:val="DefaultParagraphFont"/>
    <w:link w:val="DocumentMap"/>
    <w:uiPriority w:val="99"/>
    <w:semiHidden/>
    <w:rsid w:val="00A8589D"/>
    <w:rPr>
      <w:rFonts w:ascii="Lucida Grande" w:eastAsia="?????? Pro W3" w:hAnsi="Lucida Grande" w:cs="Lucida Grande"/>
      <w:color w:val="000000"/>
      <w:sz w:val="24"/>
      <w:szCs w:val="24"/>
      <w:lang w:val="en-US"/>
    </w:rPr>
  </w:style>
  <w:style w:type="paragraph" w:styleId="DocumentMap">
    <w:name w:val="Document Map"/>
    <w:basedOn w:val="Normal"/>
    <w:link w:val="DocumentMapChar"/>
    <w:uiPriority w:val="99"/>
    <w:semiHidden/>
    <w:unhideWhenUsed/>
    <w:rsid w:val="00A8589D"/>
    <w:pPr>
      <w:spacing w:after="0"/>
    </w:pPr>
    <w:rPr>
      <w:rFonts w:ascii="Lucida Grande" w:hAnsi="Lucida Grande" w:cs="Lucida Grande"/>
      <w:szCs w:val="24"/>
    </w:rPr>
  </w:style>
  <w:style w:type="paragraph" w:styleId="Revision">
    <w:name w:val="Revision"/>
    <w:hidden/>
    <w:uiPriority w:val="99"/>
    <w:semiHidden/>
    <w:rsid w:val="00B47ED8"/>
    <w:pPr>
      <w:spacing w:after="0" w:line="240" w:lineRule="auto"/>
    </w:pPr>
    <w:rPr>
      <w:rFonts w:ascii="Times New Roman" w:eastAsia="?????? Pro W3" w:hAnsi="Times New Roman" w:cs="Times New Roman"/>
      <w:color w:val="000000"/>
      <w:sz w:val="24"/>
      <w:szCs w:val="20"/>
      <w:lang w:val="en-US"/>
    </w:rPr>
  </w:style>
  <w:style w:type="character" w:customStyle="1" w:styleId="apple-converted-space">
    <w:name w:val="apple-converted-space"/>
    <w:basedOn w:val="DefaultParagraphFont"/>
    <w:rsid w:val="00193663"/>
  </w:style>
  <w:style w:type="character" w:styleId="Hyperlink">
    <w:name w:val="Hyperlink"/>
    <w:basedOn w:val="DefaultParagraphFont"/>
    <w:uiPriority w:val="99"/>
    <w:unhideWhenUsed/>
    <w:rsid w:val="00BE0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130">
      <w:bodyDiv w:val="1"/>
      <w:marLeft w:val="0"/>
      <w:marRight w:val="0"/>
      <w:marTop w:val="0"/>
      <w:marBottom w:val="0"/>
      <w:divBdr>
        <w:top w:val="none" w:sz="0" w:space="0" w:color="auto"/>
        <w:left w:val="none" w:sz="0" w:space="0" w:color="auto"/>
        <w:bottom w:val="none" w:sz="0" w:space="0" w:color="auto"/>
        <w:right w:val="none" w:sz="0" w:space="0" w:color="auto"/>
      </w:divBdr>
    </w:div>
    <w:div w:id="232393738">
      <w:bodyDiv w:val="1"/>
      <w:marLeft w:val="0"/>
      <w:marRight w:val="0"/>
      <w:marTop w:val="0"/>
      <w:marBottom w:val="0"/>
      <w:divBdr>
        <w:top w:val="none" w:sz="0" w:space="0" w:color="auto"/>
        <w:left w:val="none" w:sz="0" w:space="0" w:color="auto"/>
        <w:bottom w:val="none" w:sz="0" w:space="0" w:color="auto"/>
        <w:right w:val="none" w:sz="0" w:space="0" w:color="auto"/>
      </w:divBdr>
    </w:div>
    <w:div w:id="257954504">
      <w:bodyDiv w:val="1"/>
      <w:marLeft w:val="0"/>
      <w:marRight w:val="0"/>
      <w:marTop w:val="0"/>
      <w:marBottom w:val="0"/>
      <w:divBdr>
        <w:top w:val="none" w:sz="0" w:space="0" w:color="auto"/>
        <w:left w:val="none" w:sz="0" w:space="0" w:color="auto"/>
        <w:bottom w:val="none" w:sz="0" w:space="0" w:color="auto"/>
        <w:right w:val="none" w:sz="0" w:space="0" w:color="auto"/>
      </w:divBdr>
    </w:div>
    <w:div w:id="308825160">
      <w:bodyDiv w:val="1"/>
      <w:marLeft w:val="0"/>
      <w:marRight w:val="0"/>
      <w:marTop w:val="0"/>
      <w:marBottom w:val="0"/>
      <w:divBdr>
        <w:top w:val="none" w:sz="0" w:space="0" w:color="auto"/>
        <w:left w:val="none" w:sz="0" w:space="0" w:color="auto"/>
        <w:bottom w:val="none" w:sz="0" w:space="0" w:color="auto"/>
        <w:right w:val="none" w:sz="0" w:space="0" w:color="auto"/>
      </w:divBdr>
    </w:div>
    <w:div w:id="368263092">
      <w:bodyDiv w:val="1"/>
      <w:marLeft w:val="0"/>
      <w:marRight w:val="0"/>
      <w:marTop w:val="0"/>
      <w:marBottom w:val="0"/>
      <w:divBdr>
        <w:top w:val="none" w:sz="0" w:space="0" w:color="auto"/>
        <w:left w:val="none" w:sz="0" w:space="0" w:color="auto"/>
        <w:bottom w:val="none" w:sz="0" w:space="0" w:color="auto"/>
        <w:right w:val="none" w:sz="0" w:space="0" w:color="auto"/>
      </w:divBdr>
    </w:div>
    <w:div w:id="369385000">
      <w:bodyDiv w:val="1"/>
      <w:marLeft w:val="0"/>
      <w:marRight w:val="0"/>
      <w:marTop w:val="0"/>
      <w:marBottom w:val="0"/>
      <w:divBdr>
        <w:top w:val="none" w:sz="0" w:space="0" w:color="auto"/>
        <w:left w:val="none" w:sz="0" w:space="0" w:color="auto"/>
        <w:bottom w:val="none" w:sz="0" w:space="0" w:color="auto"/>
        <w:right w:val="none" w:sz="0" w:space="0" w:color="auto"/>
      </w:divBdr>
    </w:div>
    <w:div w:id="506943910">
      <w:bodyDiv w:val="1"/>
      <w:marLeft w:val="0"/>
      <w:marRight w:val="0"/>
      <w:marTop w:val="0"/>
      <w:marBottom w:val="0"/>
      <w:divBdr>
        <w:top w:val="none" w:sz="0" w:space="0" w:color="auto"/>
        <w:left w:val="none" w:sz="0" w:space="0" w:color="auto"/>
        <w:bottom w:val="none" w:sz="0" w:space="0" w:color="auto"/>
        <w:right w:val="none" w:sz="0" w:space="0" w:color="auto"/>
      </w:divBdr>
    </w:div>
    <w:div w:id="509834735">
      <w:bodyDiv w:val="1"/>
      <w:marLeft w:val="0"/>
      <w:marRight w:val="0"/>
      <w:marTop w:val="0"/>
      <w:marBottom w:val="0"/>
      <w:divBdr>
        <w:top w:val="none" w:sz="0" w:space="0" w:color="auto"/>
        <w:left w:val="none" w:sz="0" w:space="0" w:color="auto"/>
        <w:bottom w:val="none" w:sz="0" w:space="0" w:color="auto"/>
        <w:right w:val="none" w:sz="0" w:space="0" w:color="auto"/>
      </w:divBdr>
    </w:div>
    <w:div w:id="544606710">
      <w:bodyDiv w:val="1"/>
      <w:marLeft w:val="0"/>
      <w:marRight w:val="0"/>
      <w:marTop w:val="0"/>
      <w:marBottom w:val="0"/>
      <w:divBdr>
        <w:top w:val="none" w:sz="0" w:space="0" w:color="auto"/>
        <w:left w:val="none" w:sz="0" w:space="0" w:color="auto"/>
        <w:bottom w:val="none" w:sz="0" w:space="0" w:color="auto"/>
        <w:right w:val="none" w:sz="0" w:space="0" w:color="auto"/>
      </w:divBdr>
    </w:div>
    <w:div w:id="760760045">
      <w:bodyDiv w:val="1"/>
      <w:marLeft w:val="0"/>
      <w:marRight w:val="0"/>
      <w:marTop w:val="0"/>
      <w:marBottom w:val="0"/>
      <w:divBdr>
        <w:top w:val="none" w:sz="0" w:space="0" w:color="auto"/>
        <w:left w:val="none" w:sz="0" w:space="0" w:color="auto"/>
        <w:bottom w:val="none" w:sz="0" w:space="0" w:color="auto"/>
        <w:right w:val="none" w:sz="0" w:space="0" w:color="auto"/>
      </w:divBdr>
    </w:div>
    <w:div w:id="931357270">
      <w:bodyDiv w:val="1"/>
      <w:marLeft w:val="0"/>
      <w:marRight w:val="0"/>
      <w:marTop w:val="0"/>
      <w:marBottom w:val="0"/>
      <w:divBdr>
        <w:top w:val="none" w:sz="0" w:space="0" w:color="auto"/>
        <w:left w:val="none" w:sz="0" w:space="0" w:color="auto"/>
        <w:bottom w:val="none" w:sz="0" w:space="0" w:color="auto"/>
        <w:right w:val="none" w:sz="0" w:space="0" w:color="auto"/>
      </w:divBdr>
    </w:div>
    <w:div w:id="966087555">
      <w:bodyDiv w:val="1"/>
      <w:marLeft w:val="0"/>
      <w:marRight w:val="0"/>
      <w:marTop w:val="0"/>
      <w:marBottom w:val="0"/>
      <w:divBdr>
        <w:top w:val="none" w:sz="0" w:space="0" w:color="auto"/>
        <w:left w:val="none" w:sz="0" w:space="0" w:color="auto"/>
        <w:bottom w:val="none" w:sz="0" w:space="0" w:color="auto"/>
        <w:right w:val="none" w:sz="0" w:space="0" w:color="auto"/>
      </w:divBdr>
    </w:div>
    <w:div w:id="1060252449">
      <w:bodyDiv w:val="1"/>
      <w:marLeft w:val="0"/>
      <w:marRight w:val="0"/>
      <w:marTop w:val="0"/>
      <w:marBottom w:val="0"/>
      <w:divBdr>
        <w:top w:val="none" w:sz="0" w:space="0" w:color="auto"/>
        <w:left w:val="none" w:sz="0" w:space="0" w:color="auto"/>
        <w:bottom w:val="none" w:sz="0" w:space="0" w:color="auto"/>
        <w:right w:val="none" w:sz="0" w:space="0" w:color="auto"/>
      </w:divBdr>
    </w:div>
    <w:div w:id="1181817946">
      <w:bodyDiv w:val="1"/>
      <w:marLeft w:val="0"/>
      <w:marRight w:val="0"/>
      <w:marTop w:val="0"/>
      <w:marBottom w:val="0"/>
      <w:divBdr>
        <w:top w:val="none" w:sz="0" w:space="0" w:color="auto"/>
        <w:left w:val="none" w:sz="0" w:space="0" w:color="auto"/>
        <w:bottom w:val="none" w:sz="0" w:space="0" w:color="auto"/>
        <w:right w:val="none" w:sz="0" w:space="0" w:color="auto"/>
      </w:divBdr>
    </w:div>
    <w:div w:id="1234969603">
      <w:bodyDiv w:val="1"/>
      <w:marLeft w:val="0"/>
      <w:marRight w:val="0"/>
      <w:marTop w:val="0"/>
      <w:marBottom w:val="0"/>
      <w:divBdr>
        <w:top w:val="none" w:sz="0" w:space="0" w:color="auto"/>
        <w:left w:val="none" w:sz="0" w:space="0" w:color="auto"/>
        <w:bottom w:val="none" w:sz="0" w:space="0" w:color="auto"/>
        <w:right w:val="none" w:sz="0" w:space="0" w:color="auto"/>
      </w:divBdr>
    </w:div>
    <w:div w:id="1259144506">
      <w:bodyDiv w:val="1"/>
      <w:marLeft w:val="0"/>
      <w:marRight w:val="0"/>
      <w:marTop w:val="0"/>
      <w:marBottom w:val="0"/>
      <w:divBdr>
        <w:top w:val="none" w:sz="0" w:space="0" w:color="auto"/>
        <w:left w:val="none" w:sz="0" w:space="0" w:color="auto"/>
        <w:bottom w:val="none" w:sz="0" w:space="0" w:color="auto"/>
        <w:right w:val="none" w:sz="0" w:space="0" w:color="auto"/>
      </w:divBdr>
    </w:div>
    <w:div w:id="1322998881">
      <w:bodyDiv w:val="1"/>
      <w:marLeft w:val="0"/>
      <w:marRight w:val="0"/>
      <w:marTop w:val="0"/>
      <w:marBottom w:val="0"/>
      <w:divBdr>
        <w:top w:val="none" w:sz="0" w:space="0" w:color="auto"/>
        <w:left w:val="none" w:sz="0" w:space="0" w:color="auto"/>
        <w:bottom w:val="none" w:sz="0" w:space="0" w:color="auto"/>
        <w:right w:val="none" w:sz="0" w:space="0" w:color="auto"/>
      </w:divBdr>
    </w:div>
    <w:div w:id="1594976903">
      <w:bodyDiv w:val="1"/>
      <w:marLeft w:val="0"/>
      <w:marRight w:val="0"/>
      <w:marTop w:val="0"/>
      <w:marBottom w:val="0"/>
      <w:divBdr>
        <w:top w:val="none" w:sz="0" w:space="0" w:color="auto"/>
        <w:left w:val="none" w:sz="0" w:space="0" w:color="auto"/>
        <w:bottom w:val="none" w:sz="0" w:space="0" w:color="auto"/>
        <w:right w:val="none" w:sz="0" w:space="0" w:color="auto"/>
      </w:divBdr>
    </w:div>
    <w:div w:id="1626811520">
      <w:bodyDiv w:val="1"/>
      <w:marLeft w:val="0"/>
      <w:marRight w:val="0"/>
      <w:marTop w:val="0"/>
      <w:marBottom w:val="0"/>
      <w:divBdr>
        <w:top w:val="none" w:sz="0" w:space="0" w:color="auto"/>
        <w:left w:val="none" w:sz="0" w:space="0" w:color="auto"/>
        <w:bottom w:val="none" w:sz="0" w:space="0" w:color="auto"/>
        <w:right w:val="none" w:sz="0" w:space="0" w:color="auto"/>
      </w:divBdr>
    </w:div>
    <w:div w:id="1725522710">
      <w:bodyDiv w:val="1"/>
      <w:marLeft w:val="0"/>
      <w:marRight w:val="0"/>
      <w:marTop w:val="0"/>
      <w:marBottom w:val="0"/>
      <w:divBdr>
        <w:top w:val="none" w:sz="0" w:space="0" w:color="auto"/>
        <w:left w:val="none" w:sz="0" w:space="0" w:color="auto"/>
        <w:bottom w:val="none" w:sz="0" w:space="0" w:color="auto"/>
        <w:right w:val="none" w:sz="0" w:space="0" w:color="auto"/>
      </w:divBdr>
    </w:div>
    <w:div w:id="1832141974">
      <w:bodyDiv w:val="1"/>
      <w:marLeft w:val="0"/>
      <w:marRight w:val="0"/>
      <w:marTop w:val="0"/>
      <w:marBottom w:val="0"/>
      <w:divBdr>
        <w:top w:val="none" w:sz="0" w:space="0" w:color="auto"/>
        <w:left w:val="none" w:sz="0" w:space="0" w:color="auto"/>
        <w:bottom w:val="none" w:sz="0" w:space="0" w:color="auto"/>
        <w:right w:val="none" w:sz="0" w:space="0" w:color="auto"/>
      </w:divBdr>
    </w:div>
    <w:div w:id="1904947081">
      <w:bodyDiv w:val="1"/>
      <w:marLeft w:val="0"/>
      <w:marRight w:val="0"/>
      <w:marTop w:val="0"/>
      <w:marBottom w:val="0"/>
      <w:divBdr>
        <w:top w:val="none" w:sz="0" w:space="0" w:color="auto"/>
        <w:left w:val="none" w:sz="0" w:space="0" w:color="auto"/>
        <w:bottom w:val="none" w:sz="0" w:space="0" w:color="auto"/>
        <w:right w:val="none" w:sz="0" w:space="0" w:color="auto"/>
      </w:divBdr>
    </w:div>
    <w:div w:id="19561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14.arch.ox.ac.uk/embed.php?File=oxc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642C-49FB-4C88-839A-74E8284B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36</Pages>
  <Words>11129</Words>
  <Characters>63436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Bryn Letham</dc:creator>
  <cp:lastModifiedBy>Bryn Letham</cp:lastModifiedBy>
  <cp:revision>4</cp:revision>
  <dcterms:created xsi:type="dcterms:W3CDTF">2015-05-10T22:39:00Z</dcterms:created>
  <dcterms:modified xsi:type="dcterms:W3CDTF">2015-05-11T23:26:00Z</dcterms:modified>
</cp:coreProperties>
</file>