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88F33" w14:textId="77777777" w:rsidR="00A55E10" w:rsidRDefault="0090278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Exploring the role of </w:t>
      </w:r>
      <w:proofErr w:type="spellStart"/>
      <w:r>
        <w:rPr>
          <w:rFonts w:ascii="Times New Roman" w:eastAsia="Times New Roman" w:hAnsi="Times New Roman" w:cs="Times New Roman"/>
          <w:b/>
        </w:rPr>
        <w:t>OmpC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deletion and O-antigen expression in T4 bacteriophage-induced lysis of Escherichia coli K12 cells</w:t>
      </w:r>
    </w:p>
    <w:p w14:paraId="5C8A5F75" w14:textId="77777777" w:rsidR="00A55E10" w:rsidRDefault="00A55E10">
      <w:pPr>
        <w:rPr>
          <w:rFonts w:ascii="Times New Roman" w:eastAsia="Times New Roman" w:hAnsi="Times New Roman" w:cs="Times New Roman"/>
          <w:b/>
        </w:rPr>
      </w:pPr>
    </w:p>
    <w:p w14:paraId="437CF3BB" w14:textId="77777777" w:rsidR="00A55E10" w:rsidRDefault="009027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Camila Quintana, Eleanor Chen, Daniel Song</w:t>
      </w:r>
    </w:p>
    <w:p w14:paraId="2B9F19D0" w14:textId="77777777" w:rsidR="00A55E10" w:rsidRDefault="0090278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University of British Columbia, Department of </w:t>
      </w:r>
      <w:proofErr w:type="gramStart"/>
      <w:r>
        <w:rPr>
          <w:rFonts w:ascii="Times New Roman" w:eastAsia="Times New Roman" w:hAnsi="Times New Roman" w:cs="Times New Roman"/>
        </w:rPr>
        <w:t>Microbiology</w:t>
      </w:r>
      <w:proofErr w:type="gramEnd"/>
      <w:r>
        <w:rPr>
          <w:rFonts w:ascii="Times New Roman" w:eastAsia="Times New Roman" w:hAnsi="Times New Roman" w:cs="Times New Roman"/>
        </w:rPr>
        <w:t xml:space="preserve"> and Immunology, MICB 401 WT2.</w:t>
      </w:r>
    </w:p>
    <w:p w14:paraId="11AE01FA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8E9D40" w14:textId="77777777" w:rsidR="00A55E10" w:rsidRDefault="00902788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MATERIAL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798060D" wp14:editId="3E2CD519">
            <wp:simplePos x="0" y="0"/>
            <wp:positionH relativeFrom="column">
              <wp:posOffset>-190499</wp:posOffset>
            </wp:positionH>
            <wp:positionV relativeFrom="paragraph">
              <wp:posOffset>381000</wp:posOffset>
            </wp:positionV>
            <wp:extent cx="5943600" cy="2917825"/>
            <wp:effectExtent l="0" t="0" r="0" b="0"/>
            <wp:wrapTopAndBottom distT="114300" distB="11430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t="6933" b="1128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7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337A64" w14:textId="77777777" w:rsidR="00A55E10" w:rsidRDefault="009027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S1. </w:t>
      </w:r>
      <w:r>
        <w:rPr>
          <w:rFonts w:ascii="Times New Roman" w:eastAsia="Times New Roman" w:hAnsi="Times New Roman" w:cs="Times New Roman"/>
          <w:b/>
        </w:rPr>
        <w:t xml:space="preserve">List of Bacterial Strains Used. 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UBC denotes the University of British Columbia, Department of Microbiology &amp; Immunology stock collec</w:t>
      </w:r>
      <w:r>
        <w:rPr>
          <w:rFonts w:ascii="Times New Roman" w:eastAsia="Times New Roman" w:hAnsi="Times New Roman" w:cs="Times New Roman"/>
        </w:rPr>
        <w:t>tions</w:t>
      </w:r>
    </w:p>
    <w:p w14:paraId="16EB1583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53A50B7F" w14:textId="77777777" w:rsidR="00A55E10" w:rsidRDefault="00902788">
      <w:p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color w:val="00796B"/>
        </w:rPr>
        <w:drawing>
          <wp:inline distT="114300" distB="114300" distL="114300" distR="114300" wp14:anchorId="58F7F8A5" wp14:editId="3C0AC69B">
            <wp:extent cx="5338763" cy="2061926"/>
            <wp:effectExtent l="0" t="0" r="0" b="0"/>
            <wp:docPr id="8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8763" cy="20619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B6D6DB" w14:textId="77777777" w:rsidR="00A55E10" w:rsidRDefault="0090278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S2. </w:t>
      </w:r>
      <w:r>
        <w:rPr>
          <w:rFonts w:ascii="Times New Roman" w:eastAsia="Times New Roman" w:hAnsi="Times New Roman" w:cs="Times New Roman"/>
          <w:b/>
        </w:rPr>
        <w:t xml:space="preserve">Primer sequences for PCR amplification. </w:t>
      </w:r>
      <w:r>
        <w:rPr>
          <w:rFonts w:ascii="Times New Roman" w:eastAsia="Times New Roman" w:hAnsi="Times New Roman" w:cs="Times New Roman"/>
        </w:rPr>
        <w:t>F and R represent forward and reverse primer sequences respectively.</w:t>
      </w:r>
    </w:p>
    <w:p w14:paraId="6A5D99F3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E7EC00" w14:textId="77777777" w:rsidR="00A55E10" w:rsidRDefault="00A55E10">
      <w:pPr>
        <w:spacing w:line="480" w:lineRule="auto"/>
        <w:ind w:right="-89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5584FC" w14:textId="77777777" w:rsidR="00A55E10" w:rsidRDefault="00902788">
      <w:pPr>
        <w:spacing w:line="480" w:lineRule="auto"/>
        <w:ind w:right="-89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471FB09" wp14:editId="23B829C4">
            <wp:simplePos x="0" y="0"/>
            <wp:positionH relativeFrom="column">
              <wp:posOffset>1</wp:posOffset>
            </wp:positionH>
            <wp:positionV relativeFrom="paragraph">
              <wp:posOffset>398115</wp:posOffset>
            </wp:positionV>
            <wp:extent cx="3420145" cy="4376738"/>
            <wp:effectExtent l="0" t="0" r="0" b="0"/>
            <wp:wrapTopAndBottom distT="114300" distB="11430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1764"/>
                    <a:stretch>
                      <a:fillRect/>
                    </a:stretch>
                  </pic:blipFill>
                  <pic:spPr>
                    <a:xfrm>
                      <a:off x="0" y="0"/>
                      <a:ext cx="3420145" cy="437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DB67E0" w14:textId="77777777" w:rsidR="00A55E10" w:rsidRDefault="00A55E10">
      <w:pPr>
        <w:spacing w:line="240" w:lineRule="auto"/>
        <w:ind w:right="-89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CDC48" w14:textId="77777777" w:rsidR="00A55E10" w:rsidRDefault="00902788">
      <w:pPr>
        <w:spacing w:line="240" w:lineRule="auto"/>
        <w:ind w:right="-8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S1. Blue-white colony screening following transformation of competent TOP10 cells with pCR.21-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wbbL-a. </w:t>
      </w:r>
      <w:r>
        <w:rPr>
          <w:rFonts w:ascii="Times New Roman" w:eastAsia="Times New Roman" w:hAnsi="Times New Roman" w:cs="Times New Roman"/>
          <w:sz w:val="24"/>
          <w:szCs w:val="24"/>
        </w:rPr>
        <w:t>Cells were tra</w:t>
      </w:r>
      <w:r>
        <w:rPr>
          <w:rFonts w:ascii="Times New Roman" w:eastAsia="Times New Roman" w:hAnsi="Times New Roman" w:cs="Times New Roman"/>
          <w:sz w:val="24"/>
          <w:szCs w:val="24"/>
        </w:rPr>
        <w:t>nsformed with 4µL of PCR product in undiluted (A), 1:10 dilution (B), positive control (pUC19), TOP10 positive control (D), and a water negative control (E). Blue colonies acquired the empty vector, whereas white colonies acquired the plasmid with an inser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t.  </w:t>
      </w:r>
    </w:p>
    <w:p w14:paraId="420BA32D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7FDA33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E2C319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63777E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EBD558" w14:textId="77777777" w:rsidR="00A55E10" w:rsidRDefault="00902788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114300" distB="114300" distL="114300" distR="114300" simplePos="0" relativeHeight="251660288" behindDoc="0" locked="0" layoutInCell="1" hidden="0" allowOverlap="1" wp14:anchorId="6B26FF18" wp14:editId="52153314">
            <wp:simplePos x="0" y="0"/>
            <wp:positionH relativeFrom="column">
              <wp:posOffset>1</wp:posOffset>
            </wp:positionH>
            <wp:positionV relativeFrom="paragraph">
              <wp:posOffset>247650</wp:posOffset>
            </wp:positionV>
            <wp:extent cx="4484666" cy="4790815"/>
            <wp:effectExtent l="0" t="0" r="0" b="0"/>
            <wp:wrapTopAndBottom distT="114300" distB="114300"/>
            <wp:docPr id="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4666" cy="4790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647022" w14:textId="77777777" w:rsidR="00A55E10" w:rsidRDefault="00902788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S2. Transformation of cells with pCR2.1-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wbbL-a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and pCR2.1-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wbbL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-</w:t>
      </w:r>
      <w:r>
        <w:rPr>
          <w:rFonts w:ascii="Cardo" w:eastAsia="Cardo" w:hAnsi="Cardo" w:cs="Cardo"/>
          <w:b/>
          <w:i/>
        </w:rPr>
        <w:t>ꞵ</w:t>
      </w:r>
      <w:r>
        <w:rPr>
          <w:rFonts w:ascii="Cardo" w:eastAsia="Cardo" w:hAnsi="Cardo" w:cs="Cardo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</w:rPr>
        <w:t>.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Chemically competent BW25113 cells were transformed with pCR2.1-</w:t>
      </w:r>
      <w:r>
        <w:rPr>
          <w:rFonts w:ascii="Cardo" w:eastAsia="Cardo" w:hAnsi="Cardo" w:cs="Cardo"/>
          <w:i/>
        </w:rPr>
        <w:t xml:space="preserve">wbbL-ꞵ </w:t>
      </w:r>
      <w:r>
        <w:rPr>
          <w:rFonts w:ascii="Times New Roman" w:eastAsia="Times New Roman" w:hAnsi="Times New Roman" w:cs="Times New Roman"/>
        </w:rPr>
        <w:t>(A), pCR2.1-</w:t>
      </w:r>
      <w:r>
        <w:rPr>
          <w:rFonts w:ascii="Times New Roman" w:eastAsia="Times New Roman" w:hAnsi="Times New Roman" w:cs="Times New Roman"/>
          <w:i/>
        </w:rPr>
        <w:t>wbbL-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(B), or an empty vector (E)</w:t>
      </w:r>
      <w:r>
        <w:rPr>
          <w:rFonts w:ascii="Times New Roman" w:eastAsia="Times New Roman" w:hAnsi="Times New Roman" w:cs="Times New Roman"/>
        </w:rPr>
        <w:t>. Similarly, JW2203-1 cells were transformed with pCR2.1-</w:t>
      </w:r>
      <w:r>
        <w:rPr>
          <w:rFonts w:ascii="Cardo" w:eastAsia="Cardo" w:hAnsi="Cardo" w:cs="Cardo"/>
          <w:i/>
        </w:rPr>
        <w:t xml:space="preserve">wbbL-ꞵ </w:t>
      </w:r>
      <w:r>
        <w:rPr>
          <w:rFonts w:ascii="Times New Roman" w:eastAsia="Times New Roman" w:hAnsi="Times New Roman" w:cs="Times New Roman"/>
        </w:rPr>
        <w:t>(G), pCR2.1-</w:t>
      </w:r>
      <w:r>
        <w:rPr>
          <w:rFonts w:ascii="Times New Roman" w:eastAsia="Times New Roman" w:hAnsi="Times New Roman" w:cs="Times New Roman"/>
          <w:i/>
        </w:rPr>
        <w:t>wbbL-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(H), or an empty vector (D).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1:100 dilutions of the pCR2.1-</w:t>
      </w:r>
      <w:r>
        <w:rPr>
          <w:rFonts w:ascii="Times New Roman" w:eastAsia="Times New Roman" w:hAnsi="Times New Roman" w:cs="Times New Roman"/>
          <w:i/>
        </w:rPr>
        <w:t xml:space="preserve">wbbL-a </w:t>
      </w:r>
      <w:proofErr w:type="gramStart"/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Cardo" w:eastAsia="Cardo" w:hAnsi="Cardo" w:cs="Cardo"/>
          <w:i/>
        </w:rPr>
        <w:t>ꞵ</w:t>
      </w:r>
      <w:r>
        <w:rPr>
          <w:rFonts w:ascii="Times New Roman" w:eastAsia="Times New Roman" w:hAnsi="Times New Roman" w:cs="Times New Roman"/>
        </w:rPr>
        <w:t xml:space="preserve"> transformed</w:t>
      </w:r>
      <w:proofErr w:type="gramEnd"/>
      <w:r>
        <w:rPr>
          <w:rFonts w:ascii="Times New Roman" w:eastAsia="Times New Roman" w:hAnsi="Times New Roman" w:cs="Times New Roman"/>
        </w:rPr>
        <w:t xml:space="preserve"> cells were plated on LB-agar ampicillin plates and transformation efficiencies were calcu</w:t>
      </w:r>
      <w:r>
        <w:rPr>
          <w:rFonts w:ascii="Times New Roman" w:eastAsia="Times New Roman" w:hAnsi="Times New Roman" w:cs="Times New Roman"/>
        </w:rPr>
        <w:t>lated to be 6.1 x 10</w:t>
      </w:r>
      <w:r>
        <w:rPr>
          <w:rFonts w:ascii="Times New Roman" w:eastAsia="Times New Roman" w:hAnsi="Times New Roman" w:cs="Times New Roman"/>
          <w:vertAlign w:val="superscript"/>
        </w:rPr>
        <w:t>5</w:t>
      </w:r>
      <w:r>
        <w:rPr>
          <w:rFonts w:ascii="Times New Roman" w:eastAsia="Times New Roman" w:hAnsi="Times New Roman" w:cs="Times New Roman"/>
        </w:rPr>
        <w:t xml:space="preserve"> CFU/ug (A), 3.8 x 10</w:t>
      </w:r>
      <w:r>
        <w:rPr>
          <w:rFonts w:ascii="Times New Roman" w:eastAsia="Times New Roman" w:hAnsi="Times New Roman" w:cs="Times New Roman"/>
          <w:vertAlign w:val="superscript"/>
        </w:rPr>
        <w:t>5</w:t>
      </w:r>
      <w:r>
        <w:rPr>
          <w:rFonts w:ascii="Times New Roman" w:eastAsia="Times New Roman" w:hAnsi="Times New Roman" w:cs="Times New Roman"/>
        </w:rPr>
        <w:t xml:space="preserve"> CFU/ug (B), 3.3 x 10</w:t>
      </w:r>
      <w:r>
        <w:rPr>
          <w:rFonts w:ascii="Times New Roman" w:eastAsia="Times New Roman" w:hAnsi="Times New Roman" w:cs="Times New Roman"/>
          <w:vertAlign w:val="superscript"/>
        </w:rPr>
        <w:t>5</w:t>
      </w:r>
      <w:r>
        <w:rPr>
          <w:rFonts w:ascii="Times New Roman" w:eastAsia="Times New Roman" w:hAnsi="Times New Roman" w:cs="Times New Roman"/>
        </w:rPr>
        <w:t xml:space="preserve"> CFU/ug (G), and 8.2 x 10</w:t>
      </w:r>
      <w:r>
        <w:rPr>
          <w:rFonts w:ascii="Times New Roman" w:eastAsia="Times New Roman" w:hAnsi="Times New Roman" w:cs="Times New Roman"/>
          <w:vertAlign w:val="superscript"/>
        </w:rPr>
        <w:t>4</w:t>
      </w:r>
      <w:r>
        <w:rPr>
          <w:rFonts w:ascii="Times New Roman" w:eastAsia="Times New Roman" w:hAnsi="Times New Roman" w:cs="Times New Roman"/>
        </w:rPr>
        <w:t xml:space="preserve"> CFU/ug (H). JW2203-1 cells transformed with pUC19 (C) serve as a positive control, while JW2203-1 cells transformed with water (F) serve as a negative control for t</w:t>
      </w:r>
      <w:r>
        <w:rPr>
          <w:rFonts w:ascii="Times New Roman" w:eastAsia="Times New Roman" w:hAnsi="Times New Roman" w:cs="Times New Roman"/>
        </w:rPr>
        <w:t xml:space="preserve">ransformation.      </w:t>
      </w:r>
    </w:p>
    <w:p w14:paraId="1C2E6FB1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3C7F9AA4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065C480B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1D4485E5" w14:textId="77777777" w:rsidR="00A55E10" w:rsidRDefault="00902788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Figure S3. Stab assay results reveal </w:t>
      </w:r>
      <w:r>
        <w:rPr>
          <w:rFonts w:ascii="Times New Roman" w:eastAsia="Times New Roman" w:hAnsi="Times New Roman" w:cs="Times New Roman"/>
          <w:b/>
        </w:rPr>
        <w:t>resistance in cells transformed with pCR2.1-</w:t>
      </w:r>
      <w:r>
        <w:rPr>
          <w:rFonts w:ascii="Times New Roman" w:eastAsia="Times New Roman" w:hAnsi="Times New Roman" w:cs="Times New Roman"/>
          <w:b/>
          <w:i/>
        </w:rPr>
        <w:t>wbbL-</w:t>
      </w:r>
      <w:r>
        <w:rPr>
          <w:rFonts w:ascii="Times New Roman" w:eastAsia="Times New Roman" w:hAnsi="Times New Roman" w:cs="Times New Roman"/>
          <w:b/>
          <w:i/>
        </w:rPr>
        <w:t>𝛼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 Transformation was performed in three conditions pCR2.1-</w:t>
      </w:r>
      <w:r>
        <w:rPr>
          <w:rFonts w:ascii="Times New Roman" w:eastAsia="Times New Roman" w:hAnsi="Times New Roman" w:cs="Times New Roman"/>
          <w:i/>
        </w:rPr>
        <w:t>wbbL-</w:t>
      </w:r>
      <w:r>
        <w:rPr>
          <w:rFonts w:ascii="Times New Roman" w:eastAsia="Times New Roman" w:hAnsi="Times New Roman" w:cs="Times New Roman"/>
          <w:i/>
        </w:rPr>
        <w:t>𝛼</w:t>
      </w:r>
      <w:r>
        <w:rPr>
          <w:rFonts w:ascii="Times New Roman" w:eastAsia="Times New Roman" w:hAnsi="Times New Roman" w:cs="Times New Roman"/>
        </w:rPr>
        <w:t>, pCR2.1-</w:t>
      </w:r>
      <w:r>
        <w:rPr>
          <w:rFonts w:ascii="Times New Roman" w:eastAsia="Times New Roman" w:hAnsi="Times New Roman" w:cs="Times New Roman"/>
          <w:i/>
        </w:rPr>
        <w:t>wbbL-ß</w:t>
      </w:r>
      <w:r>
        <w:rPr>
          <w:rFonts w:ascii="Times New Roman" w:eastAsia="Times New Roman" w:hAnsi="Times New Roman" w:cs="Times New Roman"/>
        </w:rPr>
        <w:t xml:space="preserve">, and empty vector in </w:t>
      </w:r>
      <w:r>
        <w:rPr>
          <w:rFonts w:ascii="Gungsuh" w:eastAsia="Gungsuh" w:hAnsi="Gungsuh" w:cs="Gungsuh"/>
          <w:i/>
        </w:rPr>
        <w:t>∆</w:t>
      </w:r>
      <w:proofErr w:type="spellStart"/>
      <w:r>
        <w:rPr>
          <w:rFonts w:ascii="Gungsuh" w:eastAsia="Gungsuh" w:hAnsi="Gungsuh" w:cs="Gungsuh"/>
          <w:i/>
        </w:rPr>
        <w:t>ompC</w:t>
      </w:r>
      <w:proofErr w:type="spellEnd"/>
      <w:r>
        <w:rPr>
          <w:rFonts w:ascii="Gungsuh" w:eastAsia="Gungsuh" w:hAnsi="Gungsuh" w:cs="Gungsuh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JW2203-1 cells (A, B, C) and BW25113 cells (D, E, F), and a positive L9 control (G). </w:t>
      </w: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12556DBF" wp14:editId="725FE5F1">
            <wp:simplePos x="0" y="0"/>
            <wp:positionH relativeFrom="column">
              <wp:posOffset>142875</wp:posOffset>
            </wp:positionH>
            <wp:positionV relativeFrom="paragraph">
              <wp:posOffset>114300</wp:posOffset>
            </wp:positionV>
            <wp:extent cx="4902200" cy="5314430"/>
            <wp:effectExtent l="0" t="0" r="0" b="0"/>
            <wp:wrapTopAndBottom distT="114300" distB="11430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t="1895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5314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D168FF" w14:textId="77777777" w:rsidR="00A55E10" w:rsidRDefault="00902788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44B5F16D" w14:textId="77777777" w:rsidR="00A55E10" w:rsidRDefault="00902788">
      <w:pPr>
        <w:widowControl w:val="0"/>
      </w:pPr>
      <w:r>
        <w:rPr>
          <w:rFonts w:ascii="Times New Roman" w:eastAsia="Times New Roman" w:hAnsi="Times New Roman" w:cs="Times New Roman"/>
          <w:noProof/>
        </w:rPr>
        <w:lastRenderedPageBreak/>
        <mc:AlternateContent>
          <mc:Choice Requires="wpg">
            <w:drawing>
              <wp:inline distT="114300" distB="114300" distL="114300" distR="114300" wp14:anchorId="6405392C" wp14:editId="376F391B">
                <wp:extent cx="422275" cy="505222"/>
                <wp:effectExtent l="0" t="0" r="0" b="0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3450" y="1215550"/>
                          <a:ext cx="5097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3E8315" w14:textId="77777777" w:rsidR="00A55E10" w:rsidRDefault="00902788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56"/>
                              </w:rPr>
                              <w:t>A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422275" cy="505222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2275" cy="50522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tbl>
      <w:tblPr>
        <w:tblStyle w:val="a"/>
        <w:tblW w:w="8885" w:type="dxa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5"/>
      </w:tblGrid>
      <w:tr w:rsidR="00A55E10" w14:paraId="2DAC1981" w14:textId="77777777">
        <w:tc>
          <w:tcPr>
            <w:tcW w:w="8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BC6EE" w14:textId="77777777" w:rsidR="00A55E10" w:rsidRDefault="00902788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Sample_A_F-M13F</w:t>
            </w:r>
          </w:p>
          <w:p w14:paraId="600B5441" w14:textId="77777777" w:rsidR="00A55E10" w:rsidRDefault="00902788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NNNNNNNNNNNNNNGGCGANTGGGCCCTCTAGATGCATGCTCGAGCGGCCGCCAGTGTGATGGATATCTGCAGAATTCGCCCTTCCCAAGCTTCTCGAGTTACGGGTGAAAAACTGATGAAATTCGATCAAAGTTGCGATTTGATAAAATACGTTTTCTGGCTAAATATCTAAAAGTACTTTTTAAGTGCCATCTGAAGGCTTTTGAAAAAAAACTTCGATTGTCATGATGAGCATAATGTATCGCATGAAAAGCG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GGAACATAATGAAGTCTGACACCAGCCAGGCTAAGCCTCAAGCACAGGTCAATATCTTCACAGTACATAAAGTAACCTTGATCGAAGCCATTTACACGCACAAAATCTGAAAAACGTACCAGCATAAATGATCCTGCGCACCAATCAACAACCGTATCAGAATAGATACTTTCTTTAGGAATTTTTGTTTTATTAATCCCTAACATAAATGACACAATAAAATCAGAAAGCACAGGAAATTTTCTTACGGAATAAT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CATGTAAAGATTTCGCTTCATCTCGGAACAGGCATAATGTACTAAAAGCATAACGCTTACTTTCGACATATTTAATATATGTCAGCAAATCATCATGCTTCATGATGATATCGGGATTCAAAAACAAAATGTAATCATCATCTGCGGGTCTATATTTTTCCTTTACATACGCCACCGCAATATTATTATTATGACCAAAGCCGTATACACCTCCACTAATATAGTCCAGGCCTGCATAATGCTGGCATATTTGTTT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CAATAATAGAGAGTCTTTGTTGTCGCGTACGATAATCTTGTAGTGCTCATCGTCAGCATTAANATTTTCGAGTAATTTTTTGATGTAGTCTTTCATGTCCGTGGGAAACGATTATTATATATACCATATGAATTTCGGGAAAGGGCGAATTCCAGCNCA</w:t>
            </w:r>
          </w:p>
        </w:tc>
      </w:tr>
    </w:tbl>
    <w:p w14:paraId="3E5B462D" w14:textId="77777777" w:rsidR="00A55E10" w:rsidRDefault="00A55E10">
      <w:pPr>
        <w:widowControl w:val="0"/>
      </w:pPr>
    </w:p>
    <w:p w14:paraId="4E9FFDCB" w14:textId="77777777" w:rsidR="00A55E10" w:rsidRDefault="00902788">
      <w:pPr>
        <w:widowControl w:val="0"/>
      </w:pP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114300" distB="114300" distL="114300" distR="114300" wp14:anchorId="40EE9EC5" wp14:editId="1D4DBCDE">
                <wp:extent cx="396875" cy="474833"/>
                <wp:effectExtent l="0" t="0" r="0" b="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3450" y="1215550"/>
                          <a:ext cx="5097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A22818" w14:textId="77777777" w:rsidR="00A55E10" w:rsidRDefault="00902788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56"/>
                              </w:rPr>
                              <w:t>B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396875" cy="474833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6875" cy="47483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tbl>
      <w:tblPr>
        <w:tblStyle w:val="a0"/>
        <w:tblW w:w="8980" w:type="dxa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0"/>
      </w:tblGrid>
      <w:tr w:rsidR="00A55E10" w14:paraId="4C4FC3E7" w14:textId="77777777">
        <w:tc>
          <w:tcPr>
            <w:tcW w:w="8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83F97" w14:textId="77777777" w:rsidR="00A55E10" w:rsidRDefault="00902788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Sample_A_R-M13R</w:t>
            </w:r>
          </w:p>
          <w:p w14:paraId="050C84D0" w14:textId="77777777" w:rsidR="00A55E10" w:rsidRDefault="00902788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GNNNNNNNNNNNCGAGCTCGGATCCNCTAGTAACGGCCGCCAGTGTGCTGGAATTCGCCCTTCCCGAATTC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ATATGGTATATATAATAATCGTTTCCCACGGACATGAAGACTACATCAAAAAATTACTCGAAAATCTTAATGCTGACGATGAGCACTACAAGATTATCGTACGCGACAACAAAGACTCTCTATTATTGAAACAAATATGCCAGCATTATGCAGGCCTGGACTATATTAGTGGAGGTGTATACGGCTTTGGTCATAATAATAATATTGCGGTGGCGTATGTAAAGGAAAAATATAGACCCGCAGATGATGATTACAT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TTTGTTTTTGAATCCCGATATCATCATGAAGCATGATGATTTGCTGACATATATTAAATATGTCGAAAGTAAGCGTTATGCTTTTAGTACATTATGCCTGTTCCGAGATGAAGCGAAATCTTTACATGATTATTCCGTAAGAAAATTTCCTGTGCTTTCTGATTTTATTGTGTCATTTATGTTAGGGATTAATAAAACAAAAATTCCTAAAGAAAGTATCTATTCTGATACGGTTGTTGATTGGTGCGCAGGATCA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TTTATGCTGGTACGTTTTTCAGATTTTGTGCGTGTAAATGGCTTCGATCAAGGTTACTTTATGTACTGTGAAGATATTGACCTGTGCTTGAGGCTTAGCCTGGCTGGTGTCAGACTTCATTATGTTCCCGCTTTTCATGCGATACATTATGCTCATCATGACAATCGAAGTTTTTTTTCAAAAGCCTTCAGATGGCACTTAAAAAGTACTTTTAGATATTTAGCCAGAAAACGTATTTTATCAAATCGCAACTTTG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ATCGAATTTCATCAGTTTTTCACCCGTAACTCGAGAAGCTTGGGAAGGCNAATTCTGCANATATCCATCACACTGGCGGCNGCTCGAGCATGCATCTAGA</w:t>
            </w:r>
          </w:p>
        </w:tc>
      </w:tr>
    </w:tbl>
    <w:p w14:paraId="2B1B526E" w14:textId="77777777" w:rsidR="00A55E10" w:rsidRDefault="00A55E10">
      <w:pPr>
        <w:widowControl w:val="0"/>
      </w:pPr>
    </w:p>
    <w:p w14:paraId="523613D0" w14:textId="77777777" w:rsidR="00A55E10" w:rsidRDefault="00902788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Figure S4. Sanger sequencing results of pCR2.1-</w:t>
      </w:r>
      <w:r>
        <w:rPr>
          <w:rFonts w:ascii="Times New Roman" w:eastAsia="Times New Roman" w:hAnsi="Times New Roman" w:cs="Times New Roman"/>
          <w:b/>
          <w:i/>
        </w:rPr>
        <w:t>wbbL</w:t>
      </w:r>
      <w:r>
        <w:rPr>
          <w:rFonts w:ascii="Times New Roman" w:eastAsia="Times New Roman" w:hAnsi="Times New Roman" w:cs="Times New Roman"/>
          <w:b/>
        </w:rPr>
        <w:t>-</w:t>
      </w:r>
      <w:r>
        <w:rPr>
          <w:rFonts w:ascii="Times New Roman" w:eastAsia="Times New Roman" w:hAnsi="Times New Roman" w:cs="Times New Roman"/>
          <w:b/>
        </w:rPr>
        <w:t>𝛼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</w:rPr>
        <w:t>Sanger sequencing of pCR2.1-</w:t>
      </w:r>
      <w:r>
        <w:rPr>
          <w:rFonts w:ascii="Times New Roman" w:eastAsia="Times New Roman" w:hAnsi="Times New Roman" w:cs="Times New Roman"/>
          <w:i/>
        </w:rPr>
        <w:t>wbbL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𝛼</w:t>
      </w:r>
      <w:r>
        <w:rPr>
          <w:rFonts w:ascii="Times New Roman" w:eastAsia="Times New Roman" w:hAnsi="Times New Roman" w:cs="Times New Roman"/>
        </w:rPr>
        <w:t xml:space="preserve"> was performed by </w:t>
      </w:r>
      <w:proofErr w:type="spellStart"/>
      <w:r>
        <w:rPr>
          <w:rFonts w:ascii="Times New Roman" w:eastAsia="Times New Roman" w:hAnsi="Times New Roman" w:cs="Times New Roman"/>
        </w:rPr>
        <w:t>GeneWiz</w:t>
      </w:r>
      <w:proofErr w:type="spellEnd"/>
      <w:r>
        <w:rPr>
          <w:rFonts w:ascii="Times New Roman" w:eastAsia="Times New Roman" w:hAnsi="Times New Roman" w:cs="Times New Roman"/>
        </w:rPr>
        <w:t xml:space="preserve"> sequencing </w:t>
      </w:r>
      <w:proofErr w:type="gramStart"/>
      <w:r>
        <w:rPr>
          <w:rFonts w:ascii="Times New Roman" w:eastAsia="Times New Roman" w:hAnsi="Times New Roman" w:cs="Times New Roman"/>
        </w:rPr>
        <w:t>facility  using</w:t>
      </w:r>
      <w:proofErr w:type="gramEnd"/>
      <w:r>
        <w:rPr>
          <w:rFonts w:ascii="Times New Roman" w:eastAsia="Times New Roman" w:hAnsi="Times New Roman" w:cs="Times New Roman"/>
        </w:rPr>
        <w:t xml:space="preserve"> M13 forward and reverse primers. The forward (A) and reverse (B) reads are displayed above.  The average quality score for both reads was 49.</w:t>
      </w:r>
    </w:p>
    <w:p w14:paraId="7FA2E1D5" w14:textId="77777777" w:rsidR="00A55E10" w:rsidRDefault="00A55E10">
      <w:pPr>
        <w:spacing w:line="240" w:lineRule="auto"/>
        <w:rPr>
          <w:rFonts w:ascii="Times New Roman" w:eastAsia="Times New Roman" w:hAnsi="Times New Roman" w:cs="Times New Roman"/>
        </w:rPr>
      </w:pPr>
    </w:p>
    <w:p w14:paraId="26BEAF54" w14:textId="77777777" w:rsidR="00A55E10" w:rsidRDefault="00A55E10">
      <w:pPr>
        <w:spacing w:line="240" w:lineRule="auto"/>
        <w:rPr>
          <w:rFonts w:ascii="Times New Roman" w:eastAsia="Times New Roman" w:hAnsi="Times New Roman" w:cs="Times New Roman"/>
        </w:rPr>
      </w:pPr>
    </w:p>
    <w:p w14:paraId="7C58E23C" w14:textId="77777777" w:rsidR="00A55E10" w:rsidRDefault="00A55E10">
      <w:pPr>
        <w:spacing w:line="240" w:lineRule="auto"/>
        <w:rPr>
          <w:rFonts w:ascii="Times New Roman" w:eastAsia="Times New Roman" w:hAnsi="Times New Roman" w:cs="Times New Roman"/>
        </w:rPr>
      </w:pPr>
    </w:p>
    <w:p w14:paraId="78EC04E4" w14:textId="77777777" w:rsidR="00A55E10" w:rsidRDefault="00A55E10">
      <w:pPr>
        <w:spacing w:line="240" w:lineRule="auto"/>
        <w:rPr>
          <w:rFonts w:ascii="Times New Roman" w:eastAsia="Times New Roman" w:hAnsi="Times New Roman" w:cs="Times New Roman"/>
        </w:rPr>
      </w:pPr>
    </w:p>
    <w:p w14:paraId="11848AA7" w14:textId="77777777" w:rsidR="00A55E10" w:rsidRDefault="00902788">
      <w:pPr>
        <w:widowContro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114300" distB="114300" distL="114300" distR="114300" wp14:anchorId="4A534732" wp14:editId="77DF2BFE">
                <wp:extent cx="422275" cy="505222"/>
                <wp:effectExtent l="0" t="0" r="0" b="0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3450" y="1215550"/>
                          <a:ext cx="5097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CE2318" w14:textId="77777777" w:rsidR="00A55E10" w:rsidRDefault="00902788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56"/>
                              </w:rPr>
                              <w:t>A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422275" cy="505222"/>
                <wp:effectExtent b="0" l="0" r="0" 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2275" cy="50522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tbl>
      <w:tblPr>
        <w:tblStyle w:val="a1"/>
        <w:tblW w:w="8890" w:type="dxa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90"/>
      </w:tblGrid>
      <w:tr w:rsidR="00A55E10" w14:paraId="2ACBC97F" w14:textId="77777777">
        <w:tc>
          <w:tcPr>
            <w:tcW w:w="8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7EAD5" w14:textId="77777777" w:rsidR="00A55E10" w:rsidRDefault="00902788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Sample_B_F-M13F</w:t>
            </w:r>
          </w:p>
          <w:p w14:paraId="2488AFC4" w14:textId="77777777" w:rsidR="00A55E10" w:rsidRDefault="00902788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NNNNNNNNNNNNNNNGGCGATTGGNCCTCTAG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ATGCATGCTCGAGCGGCCGCCAGTGTGATGGATATCTGCAGAATTCGCCCTTCCCGAATTCATATGGTATATATAATAATCGTTTCCCACGGACATGAAGACTACATCAAAAAATTACTCGAAAATCTTAATGCTGACGATGAGCACTACAAGATTATCGTACGCGACAACAAAGACTCTCTATTATTGAAACAAATATGCCAGCATTATGCAGGCCTGGACTATATTAGTGGAGGTGTATACGGCTTTGGTCATA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ATAATAATATTGCGGTGGCGTATGTAAAGGAAAAATATAGACCCGCAGATGATGATTACATTTTGTTTTTGAATCCCGATATCATCATGAAGCATGATGATTTGCTGACATATATTAAATATGTCGAAAGTAAGCGTTATGCTTTTAGTACATTATGCCTGTTCCGAGATGAAGCGAAATCTTTACATGATTATTCCGTAAGAAAATTTCCTGTGCTTTCTGATTTTATTGTGTCATTTATGTTAGGGATTGATAA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AACAAAAATTCCTAAAGAAAGTATCTATTCTGATACGGTTGTTGATTGGTGCGCAGGATCATTTATGCTGGTACGTTTTTCAGATTTTGTGCGTGTAAATGGCTTCGATCAAGGTTACTTTATGTACTGTGAAGATATTGACCTGTGCTTGAGGCTTAGCCTGGCTGGTGTCAGACTTCATTATGTTCCCGCTTTTCATGCGATACATTATGCTCATCATGACAATCAAAGTTTTTTTTCAAAAGCCTTCAGATGG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CACTTAAAAAGTACTTTTAGATATTTAGCCAGAAAACGTATTTTATCAAATCGCAACTTTGATCGAATTTCATCAGTTTTTCACCCGTAACTCGAGAGCCTTGGGAANGGCGAATTCCAGCACACTGGCGGCCGTNACTANTGGATCCGANCTCGGTAC</w:t>
            </w:r>
          </w:p>
        </w:tc>
      </w:tr>
    </w:tbl>
    <w:p w14:paraId="66FDD810" w14:textId="77777777" w:rsidR="00A55E10" w:rsidRDefault="00902788">
      <w:pPr>
        <w:widowContro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114300" distB="114300" distL="114300" distR="114300" wp14:anchorId="47A79F84" wp14:editId="049F68B1">
                <wp:extent cx="396875" cy="474833"/>
                <wp:effectExtent l="0" t="0" r="0" b="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3450" y="1215550"/>
                          <a:ext cx="5097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8978BB" w14:textId="77777777" w:rsidR="00A55E10" w:rsidRDefault="00902788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56"/>
                              </w:rPr>
                              <w:t>B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396875" cy="47483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6875" cy="47483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tbl>
      <w:tblPr>
        <w:tblStyle w:val="a2"/>
        <w:tblW w:w="8840" w:type="dxa"/>
        <w:tblInd w:w="7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40"/>
      </w:tblGrid>
      <w:tr w:rsidR="00A55E10" w14:paraId="02C50C60" w14:textId="77777777">
        <w:tc>
          <w:tcPr>
            <w:tcW w:w="8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6D03B" w14:textId="77777777" w:rsidR="00A55E10" w:rsidRDefault="00902788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Sample_B_R-M13R</w:t>
            </w:r>
          </w:p>
          <w:p w14:paraId="247F28EC" w14:textId="77777777" w:rsidR="00A55E10" w:rsidRDefault="00902788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GNNNNNNNNNNNNNNGAGCTCGGATCCNCTAGTAACGGCCGCCAGTGTGCTGGAATTCGCCCTTCCCAAGCTTCTCGAGTTACGGGTGAAAAACTGATGAAATTCGATCAAAGTTGCGATTTGATAAAATACGTTTTCTGGCTAAATATCTAAAAGTACTTTTTAAGTGCCATCTGAAGGCTTTTGAAAAAAAACTTTGATTGTCATGATGAGCATAATGTATCGCATGAAAAGCGGGAACATAATGAAGTCTGAC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ACCAGCCAGGCTAAGCCTCAAGCACAGGTCAATATCTTCACAGTACATAAAGTAACCTTGATCGAAGCCATTTACACGCACAAAATCTGAAAAACGTACCAGCATAAATGATCCTGCGCACCAATCAACAACCGTATCAGAATAGATACTTTCTTTAGGAATTTTTGTTTTATCAATCCCTAACATAAATGACACAATAAAATCAGAAAGCACAGGAAATTTTCTTACGGAATAATCATGTAAAGATTTCGCTTCA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TCTCGGAACAGGCATAATGTACTAAAAGCATAACGCTTACTTTCGACATATTTAATATATGTCAGCAAATCATCATGCTTCATGATGATATCGGGATTCAAAAACAAAATGTAATCATCATCTGCGGGTCTATATTTTTCCTTTACATACGCCACCGCAATATTATTATTATGACCAAAGCCGTATACACCTCCACTAATATAGTCCAGGCCTGCATAATGCTGGCATATTTGTTTCAATAATAGAGAGTCTTTGT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TGTCGCGTACGATA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ATCTTGTAGTGCTCATCG</w:t>
            </w:r>
          </w:p>
          <w:p w14:paraId="3D51B622" w14:textId="77777777" w:rsidR="00A55E10" w:rsidRDefault="00902788">
            <w:pPr>
              <w:widowControl w:val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TCAGCATTAAGATTTTCGAGTAATTTTTTGATGTAGTCTTCATGTCCGTGGGAAACGATTATTATATATACCATATGAATTTCGGGAAGGGCGAATTCTGCAGATATCCATCANACTGGCGGCCGCTCGAGCATGNCATCTAGAGGGNCCANTTCGCCCTATANTGGAGTCGTA</w:t>
            </w:r>
          </w:p>
        </w:tc>
      </w:tr>
    </w:tbl>
    <w:p w14:paraId="5C786011" w14:textId="77777777" w:rsidR="00A55E10" w:rsidRDefault="00A55E10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110A57EE" w14:textId="77777777" w:rsidR="00A55E10" w:rsidRDefault="00A55E10">
      <w:pPr>
        <w:widowControl w:val="0"/>
      </w:pPr>
    </w:p>
    <w:p w14:paraId="54DBF138" w14:textId="77777777" w:rsidR="00A55E10" w:rsidRDefault="0090278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Figure S5. Sanger sequencing results pCR2.1-</w:t>
      </w:r>
      <w:r>
        <w:rPr>
          <w:rFonts w:ascii="Times New Roman" w:eastAsia="Times New Roman" w:hAnsi="Times New Roman" w:cs="Times New Roman"/>
          <w:b/>
          <w:i/>
        </w:rPr>
        <w:t>wbbL-ß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</w:rPr>
        <w:t>Sanger sequencing of pCR2.1-wbbL-</w:t>
      </w:r>
      <w:r>
        <w:rPr>
          <w:rFonts w:ascii="Times New Roman" w:eastAsia="Times New Roman" w:hAnsi="Times New Roman" w:cs="Times New Roman"/>
          <w:i/>
        </w:rPr>
        <w:t>ß</w:t>
      </w:r>
      <w:r>
        <w:rPr>
          <w:rFonts w:ascii="Times New Roman" w:eastAsia="Times New Roman" w:hAnsi="Times New Roman" w:cs="Times New Roman"/>
        </w:rPr>
        <w:t xml:space="preserve"> was performed by </w:t>
      </w:r>
      <w:proofErr w:type="spellStart"/>
      <w:r>
        <w:rPr>
          <w:rFonts w:ascii="Times New Roman" w:eastAsia="Times New Roman" w:hAnsi="Times New Roman" w:cs="Times New Roman"/>
        </w:rPr>
        <w:t>GeneWiz</w:t>
      </w:r>
      <w:proofErr w:type="spellEnd"/>
      <w:r>
        <w:rPr>
          <w:rFonts w:ascii="Times New Roman" w:eastAsia="Times New Roman" w:hAnsi="Times New Roman" w:cs="Times New Roman"/>
        </w:rPr>
        <w:t xml:space="preserve"> sequencing facility using M13 forward and reverse primers. The forward (A) and reverse (B) reads are displayed above. The average quality score </w:t>
      </w:r>
      <w:r>
        <w:rPr>
          <w:rFonts w:ascii="Times New Roman" w:eastAsia="Times New Roman" w:hAnsi="Times New Roman" w:cs="Times New Roman"/>
        </w:rPr>
        <w:t>of the forward read was 49, while the quality score of the forward read was 48.</w:t>
      </w:r>
    </w:p>
    <w:p w14:paraId="14C1CE2F" w14:textId="77777777" w:rsidR="00A55E10" w:rsidRDefault="00A55E1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0F9692" w14:textId="77777777" w:rsidR="00A55E10" w:rsidRDefault="00A55E1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105366" w14:textId="77777777" w:rsidR="00A55E10" w:rsidRDefault="00A55E1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5C73A1" w14:textId="77777777" w:rsidR="00A55E10" w:rsidRDefault="00A55E1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CCBFD3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E807C6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7F1629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821DEE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C2F0AD" w14:textId="77777777" w:rsidR="00A55E10" w:rsidRDefault="00A55E10">
      <w:pPr>
        <w:spacing w:line="480" w:lineRule="auto"/>
        <w:rPr>
          <w:rFonts w:ascii="Times New Roman" w:eastAsia="Times New Roman" w:hAnsi="Times New Roman" w:cs="Times New Roman"/>
          <w:b/>
        </w:rPr>
      </w:pPr>
    </w:p>
    <w:sectPr w:rsidR="00A55E10"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71BB9" w14:textId="77777777" w:rsidR="00902788" w:rsidRDefault="00902788">
      <w:pPr>
        <w:spacing w:line="240" w:lineRule="auto"/>
      </w:pPr>
      <w:r>
        <w:separator/>
      </w:r>
    </w:p>
  </w:endnote>
  <w:endnote w:type="continuationSeparator" w:id="0">
    <w:p w14:paraId="7FFBD575" w14:textId="77777777" w:rsidR="00902788" w:rsidRDefault="00902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do"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5CAB" w14:textId="77777777" w:rsidR="00A55E10" w:rsidRDefault="00A55E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4329" w14:textId="77777777" w:rsidR="00902788" w:rsidRDefault="00902788">
      <w:pPr>
        <w:spacing w:line="240" w:lineRule="auto"/>
      </w:pPr>
      <w:r>
        <w:separator/>
      </w:r>
    </w:p>
  </w:footnote>
  <w:footnote w:type="continuationSeparator" w:id="0">
    <w:p w14:paraId="085EBCC6" w14:textId="77777777" w:rsidR="00902788" w:rsidRDefault="00902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10"/>
    <w:rsid w:val="00902788"/>
    <w:rsid w:val="00A55E10"/>
    <w:rsid w:val="00ED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EC25F3"/>
  <w15:docId w15:val="{1925621C-F26A-8C4C-942C-A2D5DE35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20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967</Words>
  <Characters>5513</Characters>
  <Application>Microsoft Office Word</Application>
  <DocSecurity>0</DocSecurity>
  <Lines>45</Lines>
  <Paragraphs>12</Paragraphs>
  <ScaleCrop>false</ScaleCrop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camila quintana</cp:lastModifiedBy>
  <cp:revision>2</cp:revision>
  <dcterms:created xsi:type="dcterms:W3CDTF">2022-05-16T19:31:00Z</dcterms:created>
  <dcterms:modified xsi:type="dcterms:W3CDTF">2022-05-16T19:31:00Z</dcterms:modified>
</cp:coreProperties>
</file>