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E897" w14:textId="77777777" w:rsidR="004E306A" w:rsidRDefault="0000000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MATERIALS</w:t>
      </w:r>
    </w:p>
    <w:p w14:paraId="5117B9ED" w14:textId="608DEBD7" w:rsidR="004E306A" w:rsidRPr="00503D6D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15AF6007" wp14:editId="0403A1F9">
            <wp:extent cx="5731200" cy="54229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42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03D6D" w:rsidRPr="00503D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3D6D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Figure 1. Open and confined environments have different microbiome diversity. </w:t>
      </w:r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Unweighted </w:t>
      </w:r>
      <w:proofErr w:type="spellStart"/>
      <w:r w:rsidR="00503D6D"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 analysis of</w:t>
      </w:r>
      <w:r w:rsidR="00503D6D">
        <w:rPr>
          <w:rFonts w:ascii="Times New Roman" w:eastAsia="Times New Roman" w:hAnsi="Times New Roman" w:cs="Times New Roman"/>
          <w:b/>
          <w:sz w:val="24"/>
          <w:szCs w:val="24"/>
        </w:rPr>
        <w:t xml:space="preserve"> (A) </w:t>
      </w:r>
      <w:r w:rsidR="00503D6D">
        <w:rPr>
          <w:rFonts w:ascii="Times New Roman" w:eastAsia="Times New Roman" w:hAnsi="Times New Roman" w:cs="Times New Roman"/>
          <w:sz w:val="24"/>
          <w:szCs w:val="24"/>
        </w:rPr>
        <w:t>abiotic (p = 0.001, q = 0.001) and</w:t>
      </w:r>
      <w:r w:rsidR="00503D6D">
        <w:rPr>
          <w:rFonts w:ascii="Times New Roman" w:eastAsia="Times New Roman" w:hAnsi="Times New Roman" w:cs="Times New Roman"/>
          <w:b/>
          <w:sz w:val="24"/>
          <w:szCs w:val="24"/>
        </w:rPr>
        <w:t xml:space="preserve"> (B) </w:t>
      </w:r>
      <w:r w:rsidR="00503D6D">
        <w:rPr>
          <w:rFonts w:ascii="Times New Roman" w:eastAsia="Times New Roman" w:hAnsi="Times New Roman" w:cs="Times New Roman"/>
          <w:sz w:val="24"/>
          <w:szCs w:val="24"/>
        </w:rPr>
        <w:t>biotic (p = 0.001, q = 0.001) surfaces in the confined (red) and open (blue) environments were conducted. Box plots and error bars represent mean ± SEM. Statistical analysis was performed via the permutational multivariate analysis of variance (PERMANOVA). Principal coordinates analysis (</w:t>
      </w:r>
      <w:proofErr w:type="spellStart"/>
      <w:r w:rsidR="00503D6D">
        <w:rPr>
          <w:rFonts w:ascii="Times New Roman" w:eastAsia="Times New Roman" w:hAnsi="Times New Roman" w:cs="Times New Roman"/>
          <w:sz w:val="24"/>
          <w:szCs w:val="24"/>
        </w:rPr>
        <w:t>PCoA</w:t>
      </w:r>
      <w:proofErr w:type="spellEnd"/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) plot of beta diversity (Unweighted </w:t>
      </w:r>
      <w:proofErr w:type="spellStart"/>
      <w:r w:rsidR="00503D6D"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) distances across the </w:t>
      </w:r>
      <w:proofErr w:type="spellStart"/>
      <w:r w:rsidR="00503D6D">
        <w:rPr>
          <w:rFonts w:ascii="Times New Roman" w:eastAsia="Times New Roman" w:hAnsi="Times New Roman" w:cs="Times New Roman"/>
          <w:sz w:val="24"/>
          <w:szCs w:val="24"/>
        </w:rPr>
        <w:t>hiseas</w:t>
      </w:r>
      <w:proofErr w:type="spellEnd"/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 and dorms datasets for </w:t>
      </w:r>
      <w:r w:rsidR="00503D6D">
        <w:rPr>
          <w:rFonts w:ascii="Times New Roman" w:eastAsia="Times New Roman" w:hAnsi="Times New Roman" w:cs="Times New Roman"/>
          <w:b/>
          <w:sz w:val="24"/>
          <w:szCs w:val="24"/>
        </w:rPr>
        <w:t>(C)</w:t>
      </w:r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 abiotic and </w:t>
      </w:r>
      <w:r w:rsidR="00503D6D">
        <w:rPr>
          <w:rFonts w:ascii="Times New Roman" w:eastAsia="Times New Roman" w:hAnsi="Times New Roman" w:cs="Times New Roman"/>
          <w:b/>
          <w:sz w:val="24"/>
          <w:szCs w:val="24"/>
        </w:rPr>
        <w:t xml:space="preserve">(D) </w:t>
      </w:r>
      <w:r w:rsidR="00503D6D">
        <w:rPr>
          <w:rFonts w:ascii="Times New Roman" w:eastAsia="Times New Roman" w:hAnsi="Times New Roman" w:cs="Times New Roman"/>
          <w:sz w:val="24"/>
          <w:szCs w:val="24"/>
        </w:rPr>
        <w:t xml:space="preserve">biotic surfaces. </w:t>
      </w:r>
    </w:p>
    <w:p w14:paraId="1644A778" w14:textId="77777777" w:rsidR="004E306A" w:rsidRDefault="0000000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1A696E21" wp14:editId="59B2A2F5">
            <wp:extent cx="5731200" cy="3213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1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CE0C01" w14:textId="77777777" w:rsidR="004E306A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Figure 2.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Pseudomonas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sp. and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Cutibacterium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sp. are more abundant in confined environments relative to open environments, while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Streptococcus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sp. are more abundant in open environments relative to confined environments.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Relative abundance analysis was conducted using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RandomForest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Microeco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pipeline for both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(A)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abiotic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biotic surfaces in the confined (red) and open (blue) environment. Statistical analysis via the Wald Chi-Squared Test. *** p &lt; 0.005.</w:t>
      </w:r>
    </w:p>
    <w:sectPr w:rsidR="004E306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6A"/>
    <w:rsid w:val="004E306A"/>
    <w:rsid w:val="0050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1D561"/>
  <w15:docId w15:val="{393FD101-E190-1D47-83E8-49400F26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andy1228@student.ubc.ca</cp:lastModifiedBy>
  <cp:revision>2</cp:revision>
  <dcterms:created xsi:type="dcterms:W3CDTF">2022-07-23T05:53:00Z</dcterms:created>
  <dcterms:modified xsi:type="dcterms:W3CDTF">2022-07-23T05:54:00Z</dcterms:modified>
</cp:coreProperties>
</file>