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4173C" w14:textId="77777777" w:rsidR="00426E9B" w:rsidRDefault="008158F0">
      <w:pPr>
        <w:rPr>
          <w:b/>
        </w:rPr>
      </w:pPr>
      <w:r>
        <w:rPr>
          <w:b/>
        </w:rPr>
        <w:t xml:space="preserve"> </w:t>
      </w:r>
    </w:p>
    <w:p w14:paraId="058C0190" w14:textId="77777777" w:rsidR="00426E9B" w:rsidRDefault="008158F0">
      <w:pPr>
        <w:jc w:val="center"/>
        <w:rPr>
          <w:sz w:val="40"/>
          <w:szCs w:val="40"/>
        </w:rPr>
      </w:pPr>
      <w:r>
        <w:rPr>
          <w:b/>
          <w:sz w:val="40"/>
          <w:szCs w:val="40"/>
        </w:rPr>
        <w:t>Supplementary material</w:t>
      </w:r>
    </w:p>
    <w:p w14:paraId="67249D98" w14:textId="77777777" w:rsidR="00426E9B" w:rsidRDefault="00426E9B">
      <w:pPr>
        <w:rPr>
          <w:b/>
        </w:rPr>
      </w:pPr>
    </w:p>
    <w:p w14:paraId="02BEB779" w14:textId="77777777" w:rsidR="00426E9B" w:rsidRDefault="00426E9B">
      <w:pPr>
        <w:rPr>
          <w:b/>
        </w:rPr>
      </w:pPr>
    </w:p>
    <w:p w14:paraId="69915BF8" w14:textId="77777777" w:rsidR="00426E9B" w:rsidRDefault="00426E9B">
      <w:pPr>
        <w:rPr>
          <w:b/>
        </w:rPr>
      </w:pPr>
    </w:p>
    <w:p w14:paraId="08823016" w14:textId="148390EB" w:rsidR="00426E9B" w:rsidRDefault="008158F0">
      <w:pPr>
        <w:rPr>
          <w:sz w:val="32"/>
          <w:szCs w:val="32"/>
          <w:u w:val="single"/>
        </w:rPr>
      </w:pPr>
      <w:r>
        <w:rPr>
          <w:b/>
          <w:sz w:val="32"/>
          <w:szCs w:val="32"/>
          <w:u w:val="single"/>
        </w:rPr>
        <w:t xml:space="preserve">R and </w:t>
      </w:r>
      <w:r w:rsidR="005A7412">
        <w:rPr>
          <w:b/>
          <w:sz w:val="32"/>
          <w:szCs w:val="32"/>
          <w:u w:val="single"/>
        </w:rPr>
        <w:t>qiime</w:t>
      </w:r>
      <w:bookmarkStart w:id="0" w:name="_GoBack"/>
      <w:bookmarkEnd w:id="0"/>
      <w:r>
        <w:rPr>
          <w:b/>
          <w:sz w:val="32"/>
          <w:szCs w:val="32"/>
          <w:u w:val="single"/>
        </w:rPr>
        <w:t xml:space="preserve"> scripts:</w:t>
      </w:r>
    </w:p>
    <w:p w14:paraId="057B7132" w14:textId="77777777" w:rsidR="00426E9B" w:rsidRDefault="00426E9B">
      <w:pPr>
        <w:widowControl w:val="0"/>
        <w:pBdr>
          <w:top w:val="nil"/>
          <w:left w:val="nil"/>
          <w:bottom w:val="nil"/>
          <w:right w:val="nil"/>
          <w:between w:val="nil"/>
        </w:pBdr>
      </w:pPr>
    </w:p>
    <w:tbl>
      <w:tblPr>
        <w:tblStyle w:val="a0"/>
        <w:tblW w:w="9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1230"/>
        <w:gridCol w:w="4110"/>
      </w:tblGrid>
      <w:tr w:rsidR="00426E9B" w14:paraId="4766F127" w14:textId="77777777">
        <w:tc>
          <w:tcPr>
            <w:tcW w:w="4320" w:type="dxa"/>
            <w:shd w:val="clear" w:color="auto" w:fill="D9D9D9"/>
            <w:tcMar>
              <w:top w:w="100" w:type="dxa"/>
              <w:left w:w="100" w:type="dxa"/>
              <w:bottom w:w="100" w:type="dxa"/>
              <w:right w:w="100" w:type="dxa"/>
            </w:tcMar>
          </w:tcPr>
          <w:p w14:paraId="6BB23D4A" w14:textId="77777777" w:rsidR="00426E9B" w:rsidRDefault="008158F0">
            <w:pPr>
              <w:widowControl w:val="0"/>
              <w:pBdr>
                <w:top w:val="nil"/>
                <w:left w:val="nil"/>
                <w:bottom w:val="nil"/>
                <w:right w:val="nil"/>
                <w:between w:val="nil"/>
              </w:pBdr>
              <w:spacing w:line="240" w:lineRule="auto"/>
              <w:rPr>
                <w:b/>
              </w:rPr>
            </w:pPr>
            <w:r>
              <w:rPr>
                <w:b/>
              </w:rPr>
              <w:t>Script</w:t>
            </w:r>
          </w:p>
        </w:tc>
        <w:tc>
          <w:tcPr>
            <w:tcW w:w="1230" w:type="dxa"/>
            <w:shd w:val="clear" w:color="auto" w:fill="D9D9D9"/>
            <w:tcMar>
              <w:top w:w="100" w:type="dxa"/>
              <w:left w:w="100" w:type="dxa"/>
              <w:bottom w:w="100" w:type="dxa"/>
              <w:right w:w="100" w:type="dxa"/>
            </w:tcMar>
          </w:tcPr>
          <w:p w14:paraId="2FE62D94" w14:textId="77777777" w:rsidR="00426E9B" w:rsidRDefault="008158F0">
            <w:pPr>
              <w:widowControl w:val="0"/>
              <w:pBdr>
                <w:top w:val="nil"/>
                <w:left w:val="nil"/>
                <w:bottom w:val="nil"/>
                <w:right w:val="nil"/>
                <w:between w:val="nil"/>
              </w:pBdr>
              <w:spacing w:line="240" w:lineRule="auto"/>
              <w:rPr>
                <w:b/>
              </w:rPr>
            </w:pPr>
            <w:r>
              <w:rPr>
                <w:b/>
              </w:rPr>
              <w:t>Format</w:t>
            </w:r>
          </w:p>
        </w:tc>
        <w:tc>
          <w:tcPr>
            <w:tcW w:w="4110" w:type="dxa"/>
            <w:shd w:val="clear" w:color="auto" w:fill="D9D9D9"/>
            <w:tcMar>
              <w:top w:w="100" w:type="dxa"/>
              <w:left w:w="100" w:type="dxa"/>
              <w:bottom w:w="100" w:type="dxa"/>
              <w:right w:w="100" w:type="dxa"/>
            </w:tcMar>
          </w:tcPr>
          <w:p w14:paraId="2C6F5D9C" w14:textId="70BE89AA" w:rsidR="00426E9B" w:rsidRDefault="007B32C2">
            <w:pPr>
              <w:widowControl w:val="0"/>
              <w:pBdr>
                <w:top w:val="nil"/>
                <w:left w:val="nil"/>
                <w:bottom w:val="nil"/>
                <w:right w:val="nil"/>
                <w:between w:val="nil"/>
              </w:pBdr>
              <w:spacing w:line="240" w:lineRule="auto"/>
              <w:rPr>
                <w:b/>
              </w:rPr>
            </w:pPr>
            <w:r>
              <w:rPr>
                <w:b/>
              </w:rPr>
              <w:t>Filename</w:t>
            </w:r>
          </w:p>
        </w:tc>
      </w:tr>
      <w:tr w:rsidR="00426E9B" w14:paraId="7FC9C43D" w14:textId="77777777">
        <w:tc>
          <w:tcPr>
            <w:tcW w:w="4320" w:type="dxa"/>
            <w:shd w:val="clear" w:color="auto" w:fill="auto"/>
            <w:tcMar>
              <w:top w:w="100" w:type="dxa"/>
              <w:left w:w="100" w:type="dxa"/>
              <w:bottom w:w="100" w:type="dxa"/>
              <w:right w:w="100" w:type="dxa"/>
            </w:tcMar>
          </w:tcPr>
          <w:p w14:paraId="533E49F2" w14:textId="77777777" w:rsidR="00426E9B" w:rsidRDefault="008158F0">
            <w:pPr>
              <w:widowControl w:val="0"/>
            </w:pPr>
            <w:r>
              <w:t>Working script for QIIME2 pipeline</w:t>
            </w:r>
          </w:p>
        </w:tc>
        <w:tc>
          <w:tcPr>
            <w:tcW w:w="1230" w:type="dxa"/>
            <w:shd w:val="clear" w:color="auto" w:fill="auto"/>
            <w:tcMar>
              <w:top w:w="100" w:type="dxa"/>
              <w:left w:w="100" w:type="dxa"/>
              <w:bottom w:w="100" w:type="dxa"/>
              <w:right w:w="100" w:type="dxa"/>
            </w:tcMar>
          </w:tcPr>
          <w:p w14:paraId="17A7AE85" w14:textId="77777777" w:rsidR="00426E9B" w:rsidRDefault="008158F0">
            <w:pPr>
              <w:widowControl w:val="0"/>
              <w:pBdr>
                <w:top w:val="nil"/>
                <w:left w:val="nil"/>
                <w:bottom w:val="nil"/>
                <w:right w:val="nil"/>
                <w:between w:val="nil"/>
              </w:pBdr>
              <w:spacing w:line="240" w:lineRule="auto"/>
            </w:pPr>
            <w:r>
              <w:t>.txt</w:t>
            </w:r>
          </w:p>
        </w:tc>
        <w:tc>
          <w:tcPr>
            <w:tcW w:w="4110" w:type="dxa"/>
            <w:shd w:val="clear" w:color="auto" w:fill="auto"/>
            <w:tcMar>
              <w:top w:w="100" w:type="dxa"/>
              <w:left w:w="100" w:type="dxa"/>
              <w:bottom w:w="100" w:type="dxa"/>
              <w:right w:w="100" w:type="dxa"/>
            </w:tcMar>
          </w:tcPr>
          <w:p w14:paraId="16DEE37C" w14:textId="53490C91" w:rsidR="00426E9B" w:rsidRPr="001541F2" w:rsidRDefault="008158F0">
            <w:pPr>
              <w:widowControl w:val="0"/>
              <w:pBdr>
                <w:top w:val="nil"/>
                <w:left w:val="nil"/>
                <w:bottom w:val="nil"/>
                <w:right w:val="nil"/>
                <w:between w:val="nil"/>
              </w:pBdr>
              <w:spacing w:line="240" w:lineRule="auto"/>
            </w:pPr>
            <w:r w:rsidRPr="001541F2">
              <w:t xml:space="preserve">Soil_QIIME2_script.txt </w:t>
            </w:r>
          </w:p>
        </w:tc>
      </w:tr>
      <w:tr w:rsidR="00426E9B" w14:paraId="73B6DF1A" w14:textId="77777777">
        <w:tc>
          <w:tcPr>
            <w:tcW w:w="4320" w:type="dxa"/>
            <w:shd w:val="clear" w:color="auto" w:fill="auto"/>
            <w:tcMar>
              <w:top w:w="100" w:type="dxa"/>
              <w:left w:w="100" w:type="dxa"/>
              <w:bottom w:w="100" w:type="dxa"/>
              <w:right w:w="100" w:type="dxa"/>
            </w:tcMar>
          </w:tcPr>
          <w:p w14:paraId="7A7A6133" w14:textId="77777777" w:rsidR="00426E9B" w:rsidRDefault="008158F0">
            <w:pPr>
              <w:widowControl w:val="0"/>
            </w:pPr>
            <w:r>
              <w:t>Exploratory analysis of metadata</w:t>
            </w:r>
          </w:p>
        </w:tc>
        <w:tc>
          <w:tcPr>
            <w:tcW w:w="1230" w:type="dxa"/>
            <w:shd w:val="clear" w:color="auto" w:fill="auto"/>
            <w:tcMar>
              <w:top w:w="100" w:type="dxa"/>
              <w:left w:w="100" w:type="dxa"/>
              <w:bottom w:w="100" w:type="dxa"/>
              <w:right w:w="100" w:type="dxa"/>
            </w:tcMar>
          </w:tcPr>
          <w:p w14:paraId="43EFEA46" w14:textId="77777777" w:rsidR="00426E9B" w:rsidRDefault="008158F0">
            <w:pPr>
              <w:widowControl w:val="0"/>
              <w:pBdr>
                <w:top w:val="nil"/>
                <w:left w:val="nil"/>
                <w:bottom w:val="nil"/>
                <w:right w:val="nil"/>
                <w:between w:val="nil"/>
              </w:pBdr>
              <w:spacing w:line="240" w:lineRule="auto"/>
            </w:pPr>
            <w:proofErr w:type="gramStart"/>
            <w:r>
              <w:t>.</w:t>
            </w:r>
            <w:proofErr w:type="spellStart"/>
            <w:r>
              <w:t>Rmd</w:t>
            </w:r>
            <w:proofErr w:type="spellEnd"/>
            <w:proofErr w:type="gramEnd"/>
          </w:p>
        </w:tc>
        <w:tc>
          <w:tcPr>
            <w:tcW w:w="4110" w:type="dxa"/>
            <w:shd w:val="clear" w:color="auto" w:fill="auto"/>
            <w:tcMar>
              <w:top w:w="100" w:type="dxa"/>
              <w:left w:w="100" w:type="dxa"/>
              <w:bottom w:w="100" w:type="dxa"/>
              <w:right w:w="100" w:type="dxa"/>
            </w:tcMar>
          </w:tcPr>
          <w:p w14:paraId="65FB45EF" w14:textId="5E325162" w:rsidR="00426E9B" w:rsidRPr="001541F2" w:rsidRDefault="008158F0">
            <w:pPr>
              <w:widowControl w:val="0"/>
              <w:pBdr>
                <w:top w:val="nil"/>
                <w:left w:val="nil"/>
                <w:bottom w:val="nil"/>
                <w:right w:val="nil"/>
                <w:between w:val="nil"/>
              </w:pBdr>
              <w:spacing w:line="240" w:lineRule="auto"/>
            </w:pPr>
            <w:proofErr w:type="spellStart"/>
            <w:r w:rsidRPr="001541F2">
              <w:t>exploratory_</w:t>
            </w:r>
            <w:proofErr w:type="gramStart"/>
            <w:r w:rsidRPr="001541F2">
              <w:t>analysis.Rmd</w:t>
            </w:r>
            <w:proofErr w:type="spellEnd"/>
            <w:proofErr w:type="gramEnd"/>
            <w:r w:rsidRPr="001541F2">
              <w:t xml:space="preserve"> </w:t>
            </w:r>
          </w:p>
        </w:tc>
      </w:tr>
      <w:tr w:rsidR="00426E9B" w14:paraId="05B941EB" w14:textId="77777777">
        <w:tc>
          <w:tcPr>
            <w:tcW w:w="4320" w:type="dxa"/>
            <w:shd w:val="clear" w:color="auto" w:fill="auto"/>
            <w:tcMar>
              <w:top w:w="100" w:type="dxa"/>
              <w:left w:w="100" w:type="dxa"/>
              <w:bottom w:w="100" w:type="dxa"/>
              <w:right w:w="100" w:type="dxa"/>
            </w:tcMar>
          </w:tcPr>
          <w:p w14:paraId="4999DD42" w14:textId="77777777" w:rsidR="00426E9B" w:rsidRDefault="008158F0">
            <w:pPr>
              <w:widowControl w:val="0"/>
              <w:pBdr>
                <w:top w:val="nil"/>
                <w:left w:val="nil"/>
                <w:bottom w:val="nil"/>
                <w:right w:val="nil"/>
                <w:between w:val="nil"/>
              </w:pBdr>
              <w:spacing w:line="240" w:lineRule="auto"/>
            </w:pPr>
            <w:proofErr w:type="spellStart"/>
            <w:r>
              <w:t>PCoA</w:t>
            </w:r>
            <w:proofErr w:type="spellEnd"/>
            <w:r>
              <w:t xml:space="preserve"> plots in R</w:t>
            </w:r>
          </w:p>
        </w:tc>
        <w:tc>
          <w:tcPr>
            <w:tcW w:w="1230" w:type="dxa"/>
            <w:shd w:val="clear" w:color="auto" w:fill="auto"/>
            <w:tcMar>
              <w:top w:w="100" w:type="dxa"/>
              <w:left w:w="100" w:type="dxa"/>
              <w:bottom w:w="100" w:type="dxa"/>
              <w:right w:w="100" w:type="dxa"/>
            </w:tcMar>
          </w:tcPr>
          <w:p w14:paraId="2ECA0DB6" w14:textId="77777777" w:rsidR="00426E9B" w:rsidRDefault="008158F0">
            <w:pPr>
              <w:widowControl w:val="0"/>
              <w:pBdr>
                <w:top w:val="nil"/>
                <w:left w:val="nil"/>
                <w:bottom w:val="nil"/>
                <w:right w:val="nil"/>
                <w:between w:val="nil"/>
              </w:pBdr>
              <w:spacing w:line="240" w:lineRule="auto"/>
            </w:pPr>
            <w:proofErr w:type="gramStart"/>
            <w:r>
              <w:t>.</w:t>
            </w:r>
            <w:proofErr w:type="spellStart"/>
            <w:r>
              <w:t>Rmd</w:t>
            </w:r>
            <w:proofErr w:type="spellEnd"/>
            <w:proofErr w:type="gramEnd"/>
          </w:p>
        </w:tc>
        <w:tc>
          <w:tcPr>
            <w:tcW w:w="4110" w:type="dxa"/>
            <w:shd w:val="clear" w:color="auto" w:fill="auto"/>
            <w:tcMar>
              <w:top w:w="100" w:type="dxa"/>
              <w:left w:w="100" w:type="dxa"/>
              <w:bottom w:w="100" w:type="dxa"/>
              <w:right w:w="100" w:type="dxa"/>
            </w:tcMar>
          </w:tcPr>
          <w:p w14:paraId="187CC5B4" w14:textId="17414204" w:rsidR="00426E9B" w:rsidRPr="001541F2" w:rsidRDefault="008158F0">
            <w:pPr>
              <w:widowControl w:val="0"/>
              <w:pBdr>
                <w:top w:val="nil"/>
                <w:left w:val="nil"/>
                <w:bottom w:val="nil"/>
                <w:right w:val="nil"/>
                <w:between w:val="nil"/>
              </w:pBdr>
              <w:spacing w:line="240" w:lineRule="auto"/>
            </w:pPr>
            <w:proofErr w:type="spellStart"/>
            <w:r w:rsidRPr="001541F2">
              <w:t>PCoA_</w:t>
            </w:r>
            <w:proofErr w:type="gramStart"/>
            <w:r w:rsidRPr="001541F2">
              <w:t>plots.Rmd</w:t>
            </w:r>
            <w:proofErr w:type="spellEnd"/>
            <w:proofErr w:type="gramEnd"/>
            <w:r w:rsidRPr="001541F2">
              <w:t xml:space="preserve"> </w:t>
            </w:r>
          </w:p>
        </w:tc>
      </w:tr>
      <w:tr w:rsidR="00426E9B" w14:paraId="352190DE" w14:textId="77777777">
        <w:tc>
          <w:tcPr>
            <w:tcW w:w="4320" w:type="dxa"/>
            <w:shd w:val="clear" w:color="auto" w:fill="auto"/>
            <w:tcMar>
              <w:top w:w="100" w:type="dxa"/>
              <w:left w:w="100" w:type="dxa"/>
              <w:bottom w:w="100" w:type="dxa"/>
              <w:right w:w="100" w:type="dxa"/>
            </w:tcMar>
          </w:tcPr>
          <w:p w14:paraId="2F227857" w14:textId="77777777" w:rsidR="00426E9B" w:rsidRDefault="008158F0">
            <w:pPr>
              <w:widowControl w:val="0"/>
              <w:pBdr>
                <w:top w:val="nil"/>
                <w:left w:val="nil"/>
                <w:bottom w:val="nil"/>
                <w:right w:val="nil"/>
                <w:between w:val="nil"/>
              </w:pBdr>
              <w:spacing w:line="240" w:lineRule="auto"/>
            </w:pPr>
            <w:r>
              <w:t>Logistic regression analysis of alpha diversity metrics</w:t>
            </w:r>
          </w:p>
        </w:tc>
        <w:tc>
          <w:tcPr>
            <w:tcW w:w="1230" w:type="dxa"/>
            <w:shd w:val="clear" w:color="auto" w:fill="auto"/>
            <w:tcMar>
              <w:top w:w="100" w:type="dxa"/>
              <w:left w:w="100" w:type="dxa"/>
              <w:bottom w:w="100" w:type="dxa"/>
              <w:right w:w="100" w:type="dxa"/>
            </w:tcMar>
          </w:tcPr>
          <w:p w14:paraId="586F5C46" w14:textId="77777777" w:rsidR="00426E9B" w:rsidRDefault="008158F0">
            <w:pPr>
              <w:widowControl w:val="0"/>
              <w:pBdr>
                <w:top w:val="nil"/>
                <w:left w:val="nil"/>
                <w:bottom w:val="nil"/>
                <w:right w:val="nil"/>
                <w:between w:val="nil"/>
              </w:pBdr>
              <w:spacing w:line="240" w:lineRule="auto"/>
            </w:pPr>
            <w:proofErr w:type="gramStart"/>
            <w:r>
              <w:t>.</w:t>
            </w:r>
            <w:proofErr w:type="spellStart"/>
            <w:r>
              <w:t>Rmd</w:t>
            </w:r>
            <w:proofErr w:type="spellEnd"/>
            <w:proofErr w:type="gramEnd"/>
          </w:p>
        </w:tc>
        <w:tc>
          <w:tcPr>
            <w:tcW w:w="4110" w:type="dxa"/>
            <w:shd w:val="clear" w:color="auto" w:fill="auto"/>
            <w:tcMar>
              <w:top w:w="100" w:type="dxa"/>
              <w:left w:w="100" w:type="dxa"/>
              <w:bottom w:w="100" w:type="dxa"/>
              <w:right w:w="100" w:type="dxa"/>
            </w:tcMar>
          </w:tcPr>
          <w:p w14:paraId="4333CBE3" w14:textId="1712E0D3" w:rsidR="00426E9B" w:rsidRPr="001541F2" w:rsidRDefault="008158F0">
            <w:pPr>
              <w:widowControl w:val="0"/>
              <w:pBdr>
                <w:top w:val="nil"/>
                <w:left w:val="nil"/>
                <w:bottom w:val="nil"/>
                <w:right w:val="nil"/>
                <w:between w:val="nil"/>
              </w:pBdr>
              <w:spacing w:line="240" w:lineRule="auto"/>
            </w:pPr>
            <w:proofErr w:type="spellStart"/>
            <w:r w:rsidRPr="001541F2">
              <w:t>logistic_regression_</w:t>
            </w:r>
            <w:proofErr w:type="gramStart"/>
            <w:r w:rsidRPr="001541F2">
              <w:t>analysis.Rmd</w:t>
            </w:r>
            <w:proofErr w:type="spellEnd"/>
            <w:proofErr w:type="gramEnd"/>
            <w:r w:rsidRPr="001541F2">
              <w:t xml:space="preserve"> </w:t>
            </w:r>
          </w:p>
        </w:tc>
      </w:tr>
      <w:tr w:rsidR="00426E9B" w14:paraId="5B84761F" w14:textId="77777777">
        <w:tc>
          <w:tcPr>
            <w:tcW w:w="4320" w:type="dxa"/>
            <w:shd w:val="clear" w:color="auto" w:fill="auto"/>
            <w:tcMar>
              <w:top w:w="100" w:type="dxa"/>
              <w:left w:w="100" w:type="dxa"/>
              <w:bottom w:w="100" w:type="dxa"/>
              <w:right w:w="100" w:type="dxa"/>
            </w:tcMar>
          </w:tcPr>
          <w:p w14:paraId="63BF6079" w14:textId="77777777" w:rsidR="00426E9B" w:rsidRDefault="008158F0">
            <w:pPr>
              <w:widowControl w:val="0"/>
              <w:pBdr>
                <w:top w:val="nil"/>
                <w:left w:val="nil"/>
                <w:bottom w:val="nil"/>
                <w:right w:val="nil"/>
                <w:between w:val="nil"/>
              </w:pBdr>
              <w:spacing w:line="240" w:lineRule="auto"/>
            </w:pPr>
            <w:r>
              <w:t>Indicator taxa analysis paired with logistic regression</w:t>
            </w:r>
          </w:p>
        </w:tc>
        <w:tc>
          <w:tcPr>
            <w:tcW w:w="1230" w:type="dxa"/>
            <w:shd w:val="clear" w:color="auto" w:fill="auto"/>
            <w:tcMar>
              <w:top w:w="100" w:type="dxa"/>
              <w:left w:w="100" w:type="dxa"/>
              <w:bottom w:w="100" w:type="dxa"/>
              <w:right w:w="100" w:type="dxa"/>
            </w:tcMar>
          </w:tcPr>
          <w:p w14:paraId="3FE4FB44" w14:textId="77777777" w:rsidR="00426E9B" w:rsidRDefault="008158F0">
            <w:pPr>
              <w:widowControl w:val="0"/>
              <w:pBdr>
                <w:top w:val="nil"/>
                <w:left w:val="nil"/>
                <w:bottom w:val="nil"/>
                <w:right w:val="nil"/>
                <w:between w:val="nil"/>
              </w:pBdr>
              <w:spacing w:line="240" w:lineRule="auto"/>
            </w:pPr>
            <w:proofErr w:type="gramStart"/>
            <w:r>
              <w:t>.</w:t>
            </w:r>
            <w:proofErr w:type="spellStart"/>
            <w:r>
              <w:t>Rmd</w:t>
            </w:r>
            <w:proofErr w:type="spellEnd"/>
            <w:proofErr w:type="gramEnd"/>
          </w:p>
        </w:tc>
        <w:tc>
          <w:tcPr>
            <w:tcW w:w="4110" w:type="dxa"/>
            <w:shd w:val="clear" w:color="auto" w:fill="auto"/>
            <w:tcMar>
              <w:top w:w="100" w:type="dxa"/>
              <w:left w:w="100" w:type="dxa"/>
              <w:bottom w:w="100" w:type="dxa"/>
              <w:right w:w="100" w:type="dxa"/>
            </w:tcMar>
          </w:tcPr>
          <w:p w14:paraId="4E883C77" w14:textId="3CFF1CD9" w:rsidR="00426E9B" w:rsidRPr="001541F2" w:rsidRDefault="008158F0">
            <w:pPr>
              <w:widowControl w:val="0"/>
              <w:pBdr>
                <w:top w:val="nil"/>
                <w:left w:val="nil"/>
                <w:bottom w:val="nil"/>
                <w:right w:val="nil"/>
                <w:between w:val="nil"/>
              </w:pBdr>
              <w:spacing w:line="240" w:lineRule="auto"/>
            </w:pPr>
            <w:proofErr w:type="spellStart"/>
            <w:r w:rsidRPr="001541F2">
              <w:t>indicator_</w:t>
            </w:r>
            <w:proofErr w:type="gramStart"/>
            <w:r w:rsidRPr="001541F2">
              <w:t>taxa.Rmd</w:t>
            </w:r>
            <w:proofErr w:type="spellEnd"/>
            <w:proofErr w:type="gramEnd"/>
            <w:r w:rsidRPr="001541F2">
              <w:t xml:space="preserve"> </w:t>
            </w:r>
          </w:p>
        </w:tc>
      </w:tr>
      <w:tr w:rsidR="00426E9B" w14:paraId="0AC9800B" w14:textId="77777777">
        <w:tc>
          <w:tcPr>
            <w:tcW w:w="4320" w:type="dxa"/>
            <w:shd w:val="clear" w:color="auto" w:fill="auto"/>
            <w:tcMar>
              <w:top w:w="100" w:type="dxa"/>
              <w:left w:w="100" w:type="dxa"/>
              <w:bottom w:w="100" w:type="dxa"/>
              <w:right w:w="100" w:type="dxa"/>
            </w:tcMar>
          </w:tcPr>
          <w:p w14:paraId="03B47BC0" w14:textId="77777777" w:rsidR="00426E9B" w:rsidRDefault="008158F0">
            <w:pPr>
              <w:widowControl w:val="0"/>
              <w:pBdr>
                <w:top w:val="nil"/>
                <w:left w:val="nil"/>
                <w:bottom w:val="nil"/>
                <w:right w:val="nil"/>
                <w:between w:val="nil"/>
              </w:pBdr>
              <w:spacing w:line="240" w:lineRule="auto"/>
            </w:pPr>
            <w:r>
              <w:t>Taxonomic bar plot</w:t>
            </w:r>
          </w:p>
        </w:tc>
        <w:tc>
          <w:tcPr>
            <w:tcW w:w="1230" w:type="dxa"/>
            <w:shd w:val="clear" w:color="auto" w:fill="auto"/>
            <w:tcMar>
              <w:top w:w="100" w:type="dxa"/>
              <w:left w:w="100" w:type="dxa"/>
              <w:bottom w:w="100" w:type="dxa"/>
              <w:right w:w="100" w:type="dxa"/>
            </w:tcMar>
          </w:tcPr>
          <w:p w14:paraId="3DFC2B39" w14:textId="77777777" w:rsidR="00426E9B" w:rsidRDefault="008158F0">
            <w:pPr>
              <w:widowControl w:val="0"/>
              <w:pBdr>
                <w:top w:val="nil"/>
                <w:left w:val="nil"/>
                <w:bottom w:val="nil"/>
                <w:right w:val="nil"/>
                <w:between w:val="nil"/>
              </w:pBdr>
              <w:spacing w:line="240" w:lineRule="auto"/>
            </w:pPr>
            <w:proofErr w:type="gramStart"/>
            <w:r>
              <w:t>.</w:t>
            </w:r>
            <w:proofErr w:type="spellStart"/>
            <w:r>
              <w:t>Rmd</w:t>
            </w:r>
            <w:proofErr w:type="spellEnd"/>
            <w:proofErr w:type="gramEnd"/>
          </w:p>
        </w:tc>
        <w:tc>
          <w:tcPr>
            <w:tcW w:w="4110" w:type="dxa"/>
            <w:shd w:val="clear" w:color="auto" w:fill="auto"/>
            <w:tcMar>
              <w:top w:w="100" w:type="dxa"/>
              <w:left w:w="100" w:type="dxa"/>
              <w:bottom w:w="100" w:type="dxa"/>
              <w:right w:w="100" w:type="dxa"/>
            </w:tcMar>
          </w:tcPr>
          <w:p w14:paraId="0E130593" w14:textId="56B1389A" w:rsidR="00426E9B" w:rsidRPr="001541F2" w:rsidRDefault="008158F0">
            <w:pPr>
              <w:widowControl w:val="0"/>
              <w:pBdr>
                <w:top w:val="nil"/>
                <w:left w:val="nil"/>
                <w:bottom w:val="nil"/>
                <w:right w:val="nil"/>
                <w:between w:val="nil"/>
              </w:pBdr>
              <w:spacing w:line="240" w:lineRule="auto"/>
            </w:pPr>
            <w:proofErr w:type="spellStart"/>
            <w:r w:rsidRPr="001541F2">
              <w:t>taxonomic_bar_</w:t>
            </w:r>
            <w:proofErr w:type="gramStart"/>
            <w:r w:rsidRPr="001541F2">
              <w:t>plot.Rmd</w:t>
            </w:r>
            <w:proofErr w:type="spellEnd"/>
            <w:proofErr w:type="gramEnd"/>
            <w:r w:rsidRPr="001541F2">
              <w:t xml:space="preserve"> </w:t>
            </w:r>
          </w:p>
        </w:tc>
      </w:tr>
      <w:tr w:rsidR="00426E9B" w14:paraId="7384FBF5" w14:textId="77777777">
        <w:tc>
          <w:tcPr>
            <w:tcW w:w="4320" w:type="dxa"/>
            <w:shd w:val="clear" w:color="auto" w:fill="auto"/>
            <w:tcMar>
              <w:top w:w="100" w:type="dxa"/>
              <w:left w:w="100" w:type="dxa"/>
              <w:bottom w:w="100" w:type="dxa"/>
              <w:right w:w="100" w:type="dxa"/>
            </w:tcMar>
          </w:tcPr>
          <w:p w14:paraId="6F41DCD7" w14:textId="77777777" w:rsidR="00426E9B" w:rsidRDefault="008158F0">
            <w:pPr>
              <w:widowControl w:val="0"/>
              <w:pBdr>
                <w:top w:val="nil"/>
                <w:left w:val="nil"/>
                <w:bottom w:val="nil"/>
                <w:right w:val="nil"/>
                <w:between w:val="nil"/>
              </w:pBdr>
              <w:spacing w:line="240" w:lineRule="auto"/>
            </w:pPr>
            <w:r>
              <w:t>In-house function to calculate relative abundance of taxonomy ASV counts</w:t>
            </w:r>
          </w:p>
        </w:tc>
        <w:tc>
          <w:tcPr>
            <w:tcW w:w="1230" w:type="dxa"/>
            <w:shd w:val="clear" w:color="auto" w:fill="auto"/>
            <w:tcMar>
              <w:top w:w="100" w:type="dxa"/>
              <w:left w:w="100" w:type="dxa"/>
              <w:bottom w:w="100" w:type="dxa"/>
              <w:right w:w="100" w:type="dxa"/>
            </w:tcMar>
          </w:tcPr>
          <w:p w14:paraId="4CC222CF" w14:textId="77777777" w:rsidR="00426E9B" w:rsidRDefault="008158F0">
            <w:pPr>
              <w:widowControl w:val="0"/>
              <w:pBdr>
                <w:top w:val="nil"/>
                <w:left w:val="nil"/>
                <w:bottom w:val="nil"/>
                <w:right w:val="nil"/>
                <w:between w:val="nil"/>
              </w:pBdr>
              <w:spacing w:line="240" w:lineRule="auto"/>
            </w:pPr>
            <w:proofErr w:type="gramStart"/>
            <w:r>
              <w:t>.R</w:t>
            </w:r>
            <w:proofErr w:type="gramEnd"/>
          </w:p>
        </w:tc>
        <w:tc>
          <w:tcPr>
            <w:tcW w:w="4110" w:type="dxa"/>
            <w:shd w:val="clear" w:color="auto" w:fill="auto"/>
            <w:tcMar>
              <w:top w:w="100" w:type="dxa"/>
              <w:left w:w="100" w:type="dxa"/>
              <w:bottom w:w="100" w:type="dxa"/>
              <w:right w:w="100" w:type="dxa"/>
            </w:tcMar>
          </w:tcPr>
          <w:p w14:paraId="4EBE3F08" w14:textId="7FE81364" w:rsidR="00426E9B" w:rsidRPr="001541F2" w:rsidRDefault="008158F0">
            <w:pPr>
              <w:widowControl w:val="0"/>
              <w:pBdr>
                <w:top w:val="nil"/>
                <w:left w:val="nil"/>
                <w:bottom w:val="nil"/>
                <w:right w:val="nil"/>
                <w:between w:val="nil"/>
              </w:pBdr>
              <w:spacing w:line="240" w:lineRule="auto"/>
            </w:pPr>
            <w:proofErr w:type="spellStart"/>
            <w:r w:rsidRPr="001541F2">
              <w:t>RelativeTaxa.R</w:t>
            </w:r>
            <w:proofErr w:type="spellEnd"/>
            <w:r w:rsidRPr="001541F2">
              <w:t xml:space="preserve"> </w:t>
            </w:r>
          </w:p>
        </w:tc>
      </w:tr>
    </w:tbl>
    <w:p w14:paraId="4FC2CEFA" w14:textId="77777777" w:rsidR="00426E9B" w:rsidRDefault="008158F0">
      <w:pPr>
        <w:widowControl w:val="0"/>
        <w:pBdr>
          <w:top w:val="nil"/>
          <w:left w:val="nil"/>
          <w:bottom w:val="nil"/>
          <w:right w:val="nil"/>
          <w:between w:val="nil"/>
        </w:pBdr>
      </w:pPr>
      <w:r>
        <w:t xml:space="preserve">*note: </w:t>
      </w:r>
      <w:proofErr w:type="spellStart"/>
      <w:r>
        <w:t>Rmd</w:t>
      </w:r>
      <w:proofErr w:type="spellEnd"/>
      <w:r>
        <w:t xml:space="preserve"> is an “R markdown” script. It is more readable to the user</w:t>
      </w:r>
    </w:p>
    <w:p w14:paraId="7F8B3917" w14:textId="77777777" w:rsidR="00426E9B" w:rsidRDefault="008158F0">
      <w:pPr>
        <w:rPr>
          <w:b/>
          <w:sz w:val="32"/>
          <w:szCs w:val="32"/>
          <w:u w:val="single"/>
        </w:rPr>
      </w:pPr>
      <w:r>
        <w:br w:type="page"/>
      </w:r>
      <w:r>
        <w:rPr>
          <w:b/>
          <w:sz w:val="32"/>
          <w:szCs w:val="32"/>
          <w:u w:val="single"/>
        </w:rPr>
        <w:lastRenderedPageBreak/>
        <w:t>Supplementary figures</w:t>
      </w:r>
    </w:p>
    <w:p w14:paraId="1B1A1341" w14:textId="77777777" w:rsidR="00426E9B" w:rsidRDefault="008158F0">
      <w:pPr>
        <w:rPr>
          <w:b/>
        </w:rPr>
      </w:pPr>
      <w:r>
        <w:rPr>
          <w:b/>
          <w:noProof/>
        </w:rPr>
        <w:drawing>
          <wp:inline distT="114300" distB="114300" distL="114300" distR="114300" wp14:anchorId="1E07B9AD" wp14:editId="296AE403">
            <wp:extent cx="5943600" cy="71628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5943600" cy="7162800"/>
                    </a:xfrm>
                    <a:prstGeom prst="rect">
                      <a:avLst/>
                    </a:prstGeom>
                    <a:ln/>
                  </pic:spPr>
                </pic:pic>
              </a:graphicData>
            </a:graphic>
          </wp:inline>
        </w:drawing>
      </w:r>
    </w:p>
    <w:p w14:paraId="52616DAB" w14:textId="77777777" w:rsidR="00426E9B" w:rsidRDefault="008158F0">
      <w:pPr>
        <w:rPr>
          <w:b/>
        </w:rPr>
      </w:pPr>
      <w:r>
        <w:rPr>
          <w:b/>
          <w:sz w:val="20"/>
          <w:szCs w:val="20"/>
        </w:rPr>
        <w:t>Supplementary Figure S0: Summary of processing and analysis pipeline conducted.</w:t>
      </w:r>
      <w:r>
        <w:rPr>
          <w:sz w:val="20"/>
          <w:szCs w:val="20"/>
        </w:rPr>
        <w:t xml:space="preserve"> For a more detailed explanation, please refer to the scripts and the methods section.</w:t>
      </w:r>
      <w:r>
        <w:br w:type="page"/>
      </w:r>
    </w:p>
    <w:p w14:paraId="7EB916C7" w14:textId="77777777" w:rsidR="00426E9B" w:rsidRDefault="00426E9B">
      <w:pPr>
        <w:rPr>
          <w:b/>
        </w:rPr>
      </w:pPr>
    </w:p>
    <w:p w14:paraId="1DABD272" w14:textId="77777777" w:rsidR="00426E9B" w:rsidRDefault="00426E9B">
      <w:pPr>
        <w:rPr>
          <w:b/>
        </w:rPr>
      </w:pPr>
    </w:p>
    <w:p w14:paraId="63B52685" w14:textId="77777777" w:rsidR="00426E9B" w:rsidRDefault="00426E9B">
      <w:pPr>
        <w:rPr>
          <w:b/>
        </w:rPr>
      </w:pPr>
    </w:p>
    <w:p w14:paraId="3793A49E" w14:textId="77777777" w:rsidR="00426E9B" w:rsidRDefault="008158F0">
      <w:pPr>
        <w:rPr>
          <w:b/>
        </w:rPr>
      </w:pPr>
      <w:r>
        <w:rPr>
          <w:b/>
          <w:noProof/>
        </w:rPr>
        <w:drawing>
          <wp:inline distT="114300" distB="114300" distL="114300" distR="114300" wp14:anchorId="04BA097B" wp14:editId="700A649C">
            <wp:extent cx="5943600" cy="30353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035300"/>
                    </a:xfrm>
                    <a:prstGeom prst="rect">
                      <a:avLst/>
                    </a:prstGeom>
                    <a:ln/>
                  </pic:spPr>
                </pic:pic>
              </a:graphicData>
            </a:graphic>
          </wp:inline>
        </w:drawing>
      </w:r>
    </w:p>
    <w:p w14:paraId="361F153E" w14:textId="77777777" w:rsidR="00426E9B" w:rsidRDefault="008158F0">
      <w:pPr>
        <w:rPr>
          <w:sz w:val="20"/>
          <w:szCs w:val="20"/>
        </w:rPr>
      </w:pPr>
      <w:r>
        <w:rPr>
          <w:b/>
          <w:sz w:val="20"/>
          <w:szCs w:val="20"/>
        </w:rPr>
        <w:t xml:space="preserve">Supplementary Figure S1: Characteristics of different organic matter (OM) removal treatments in harvesting practices and how their relation to soil microbiome was studied. (A) </w:t>
      </w:r>
      <w:r>
        <w:rPr>
          <w:sz w:val="20"/>
          <w:szCs w:val="20"/>
        </w:rPr>
        <w:t>OM removal treatments refer to the harvesting practices done in managed forests.</w:t>
      </w:r>
      <w:r>
        <w:rPr>
          <w:b/>
          <w:sz w:val="20"/>
          <w:szCs w:val="20"/>
        </w:rPr>
        <w:t xml:space="preserve"> </w:t>
      </w:r>
      <w:r>
        <w:rPr>
          <w:sz w:val="20"/>
          <w:szCs w:val="20"/>
        </w:rPr>
        <w:t xml:space="preserve">These treatments are characterized either by the debranching of trees </w:t>
      </w:r>
      <w:r>
        <w:rPr>
          <w:i/>
          <w:sz w:val="20"/>
          <w:szCs w:val="20"/>
        </w:rPr>
        <w:t>in-situ</w:t>
      </w:r>
      <w:r>
        <w:rPr>
          <w:sz w:val="20"/>
          <w:szCs w:val="20"/>
        </w:rPr>
        <w:t xml:space="preserve"> (OM1), removal of branches and trunks (OM2), or removal of branches, trunks and top soil layer (OM3) of forests. Reference (REF) samples had no organic matter removal. </w:t>
      </w:r>
      <w:r>
        <w:rPr>
          <w:b/>
          <w:sz w:val="20"/>
          <w:szCs w:val="20"/>
        </w:rPr>
        <w:t>(B)</w:t>
      </w:r>
      <w:r>
        <w:rPr>
          <w:sz w:val="20"/>
          <w:szCs w:val="20"/>
        </w:rPr>
        <w:t xml:space="preserve"> To investigate the effects of OM removal intensity in microbial diversity and composition,</w:t>
      </w:r>
      <w:r>
        <w:rPr>
          <w:b/>
          <w:sz w:val="20"/>
          <w:szCs w:val="20"/>
        </w:rPr>
        <w:t xml:space="preserve"> </w:t>
      </w:r>
      <w:r>
        <w:rPr>
          <w:sz w:val="20"/>
          <w:szCs w:val="20"/>
        </w:rPr>
        <w:t xml:space="preserve">Alpha- and Beta-diversity analyses between the different OM removal treaded forest plots were conducted. Furthermore, Soil heterogeneity was investigated within each OM treatment plot by comparing Beta-diversity composition between soil horizons (O and A). Image done with </w:t>
      </w:r>
      <w:proofErr w:type="spellStart"/>
      <w:r>
        <w:rPr>
          <w:sz w:val="20"/>
          <w:szCs w:val="20"/>
        </w:rPr>
        <w:t>Biorender</w:t>
      </w:r>
      <w:proofErr w:type="spellEnd"/>
      <w:r>
        <w:rPr>
          <w:sz w:val="20"/>
          <w:szCs w:val="20"/>
        </w:rPr>
        <w:t xml:space="preserve"> (</w:t>
      </w:r>
      <w:hyperlink r:id="rId7">
        <w:r>
          <w:rPr>
            <w:color w:val="1155CC"/>
            <w:sz w:val="20"/>
            <w:szCs w:val="20"/>
            <w:u w:val="single"/>
          </w:rPr>
          <w:t>https://biorender.com/</w:t>
        </w:r>
      </w:hyperlink>
      <w:r>
        <w:rPr>
          <w:sz w:val="20"/>
          <w:szCs w:val="20"/>
        </w:rPr>
        <w:t>)</w:t>
      </w:r>
    </w:p>
    <w:p w14:paraId="617ECF2D" w14:textId="77777777" w:rsidR="00426E9B" w:rsidRDefault="00426E9B">
      <w:pPr>
        <w:rPr>
          <w:b/>
        </w:rPr>
      </w:pPr>
    </w:p>
    <w:p w14:paraId="58DEE184" w14:textId="77777777" w:rsidR="00426E9B" w:rsidRDefault="008158F0">
      <w:pPr>
        <w:rPr>
          <w:b/>
        </w:rPr>
      </w:pPr>
      <w:r>
        <w:rPr>
          <w:b/>
          <w:noProof/>
        </w:rPr>
        <w:lastRenderedPageBreak/>
        <w:drawing>
          <wp:inline distT="114300" distB="114300" distL="114300" distR="114300" wp14:anchorId="59C2A5F6" wp14:editId="1B65C0C9">
            <wp:extent cx="6091238" cy="3836308"/>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091238" cy="3836308"/>
                    </a:xfrm>
                    <a:prstGeom prst="rect">
                      <a:avLst/>
                    </a:prstGeom>
                    <a:ln/>
                  </pic:spPr>
                </pic:pic>
              </a:graphicData>
            </a:graphic>
          </wp:inline>
        </w:drawing>
      </w:r>
    </w:p>
    <w:p w14:paraId="797E5B91" w14:textId="77777777" w:rsidR="00426E9B" w:rsidRDefault="008158F0">
      <w:pPr>
        <w:rPr>
          <w:b/>
        </w:rPr>
      </w:pPr>
      <w:r>
        <w:rPr>
          <w:b/>
          <w:sz w:val="20"/>
          <w:szCs w:val="20"/>
        </w:rPr>
        <w:t>Supplementary Figure S2: Sample rarefaction grouped by OM removal treatment.</w:t>
      </w:r>
      <w:r>
        <w:rPr>
          <w:sz w:val="20"/>
          <w:szCs w:val="20"/>
        </w:rPr>
        <w:t xml:space="preserve"> Rarefaction was done to select an adequate sequencing depth to be used in downstream alpha and beta diversity analyses. At the selected sampling depth of 6041 all diversity metrics plateau while most samples are still retained (only 20 samples were dropped).  </w:t>
      </w:r>
      <w:r>
        <w:rPr>
          <w:b/>
          <w:sz w:val="20"/>
          <w:szCs w:val="20"/>
        </w:rPr>
        <w:t>(A)</w:t>
      </w:r>
      <w:r>
        <w:rPr>
          <w:sz w:val="20"/>
          <w:szCs w:val="20"/>
        </w:rPr>
        <w:t xml:space="preserve"> Comparison between sequencing depth and observed features diversity metric based on OM removal treatment categories and the number of samples retained at each depth </w:t>
      </w:r>
      <w:r>
        <w:rPr>
          <w:b/>
          <w:sz w:val="20"/>
          <w:szCs w:val="20"/>
        </w:rPr>
        <w:t>(B)</w:t>
      </w:r>
      <w:r>
        <w:rPr>
          <w:sz w:val="20"/>
          <w:szCs w:val="20"/>
        </w:rPr>
        <w:t>.</w:t>
      </w:r>
      <w:r>
        <w:br w:type="page"/>
      </w:r>
      <w:r>
        <w:rPr>
          <w:b/>
          <w:noProof/>
        </w:rPr>
        <w:lastRenderedPageBreak/>
        <w:drawing>
          <wp:inline distT="114300" distB="114300" distL="114300" distR="114300" wp14:anchorId="29A1A082" wp14:editId="38976BA0">
            <wp:extent cx="5943600" cy="355600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943600" cy="3556000"/>
                    </a:xfrm>
                    <a:prstGeom prst="rect">
                      <a:avLst/>
                    </a:prstGeom>
                    <a:ln/>
                  </pic:spPr>
                </pic:pic>
              </a:graphicData>
            </a:graphic>
          </wp:inline>
        </w:drawing>
      </w:r>
    </w:p>
    <w:p w14:paraId="7F8BC8FA" w14:textId="77777777" w:rsidR="00426E9B" w:rsidRDefault="008158F0">
      <w:pPr>
        <w:rPr>
          <w:b/>
        </w:rPr>
      </w:pPr>
      <w:r>
        <w:rPr>
          <w:b/>
          <w:sz w:val="20"/>
          <w:szCs w:val="20"/>
        </w:rPr>
        <w:t>Supplementary Figure S3: Clustering of soil microbial communities based on various abiotic factors suggests confounding variables.</w:t>
      </w:r>
      <w:r>
        <w:rPr>
          <w:sz w:val="20"/>
          <w:szCs w:val="20"/>
        </w:rPr>
        <w:t xml:space="preserve"> Weighted </w:t>
      </w:r>
      <w:proofErr w:type="spellStart"/>
      <w:r>
        <w:rPr>
          <w:sz w:val="20"/>
          <w:szCs w:val="20"/>
        </w:rPr>
        <w:t>UniFrac</w:t>
      </w:r>
      <w:proofErr w:type="spellEnd"/>
      <w:r>
        <w:rPr>
          <w:sz w:val="20"/>
          <w:szCs w:val="20"/>
        </w:rPr>
        <w:t xml:space="preserve"> </w:t>
      </w:r>
      <w:proofErr w:type="spellStart"/>
      <w:r>
        <w:rPr>
          <w:sz w:val="20"/>
          <w:szCs w:val="20"/>
        </w:rPr>
        <w:t>PCoA</w:t>
      </w:r>
      <w:proofErr w:type="spellEnd"/>
      <w:r>
        <w:rPr>
          <w:sz w:val="20"/>
          <w:szCs w:val="20"/>
        </w:rPr>
        <w:t xml:space="preserve"> ordinations of samples based on microbial diversity depending on various abiotic factors besides OM treatment. </w:t>
      </w:r>
      <w:r>
        <w:rPr>
          <w:b/>
          <w:sz w:val="20"/>
          <w:szCs w:val="20"/>
        </w:rPr>
        <w:t xml:space="preserve">(A) </w:t>
      </w:r>
      <w:r>
        <w:rPr>
          <w:sz w:val="20"/>
          <w:szCs w:val="20"/>
        </w:rPr>
        <w:t xml:space="preserve">Analysis based on the site where each soil sample was collected. Clustering is visible based on similarities on the location the samples were collected. </w:t>
      </w:r>
      <w:r>
        <w:rPr>
          <w:b/>
          <w:sz w:val="20"/>
          <w:szCs w:val="20"/>
        </w:rPr>
        <w:t xml:space="preserve">(B) </w:t>
      </w:r>
      <w:r>
        <w:rPr>
          <w:sz w:val="20"/>
          <w:szCs w:val="20"/>
        </w:rPr>
        <w:t xml:space="preserve">Analysis based on the specific ecozone where each soil sample was collected. Clustering is visible based on the two different ecozones utilized in the metadata. </w:t>
      </w:r>
      <w:r>
        <w:rPr>
          <w:b/>
          <w:sz w:val="20"/>
          <w:szCs w:val="20"/>
        </w:rPr>
        <w:t>(C)</w:t>
      </w:r>
      <w:r>
        <w:rPr>
          <w:sz w:val="20"/>
          <w:szCs w:val="20"/>
        </w:rPr>
        <w:t xml:space="preserve"> Analysis based on the mean annual precipitation observed at the collection site. Clear clustering visible based on the two different groups highlighted. Variance identified by each </w:t>
      </w:r>
      <w:proofErr w:type="spellStart"/>
      <w:r>
        <w:rPr>
          <w:sz w:val="20"/>
          <w:szCs w:val="20"/>
        </w:rPr>
        <w:t>PCoA</w:t>
      </w:r>
      <w:proofErr w:type="spellEnd"/>
      <w:r>
        <w:rPr>
          <w:sz w:val="20"/>
          <w:szCs w:val="20"/>
        </w:rPr>
        <w:t xml:space="preserve"> axis is given in parentheses for each plot. Data for other variables with clustering patterns is not shown. </w:t>
      </w:r>
    </w:p>
    <w:p w14:paraId="30AA100A" w14:textId="77777777" w:rsidR="00426E9B" w:rsidRDefault="00426E9B">
      <w:pPr>
        <w:jc w:val="center"/>
        <w:rPr>
          <w:b/>
        </w:rPr>
      </w:pPr>
    </w:p>
    <w:p w14:paraId="073614CC" w14:textId="77777777" w:rsidR="00426E9B" w:rsidRDefault="00426E9B">
      <w:pPr>
        <w:jc w:val="center"/>
        <w:rPr>
          <w:b/>
        </w:rPr>
      </w:pPr>
    </w:p>
    <w:p w14:paraId="40C87C53" w14:textId="77777777" w:rsidR="00426E9B" w:rsidRDefault="00426E9B">
      <w:pPr>
        <w:jc w:val="center"/>
        <w:rPr>
          <w:b/>
        </w:rPr>
      </w:pPr>
    </w:p>
    <w:p w14:paraId="6656480D" w14:textId="77777777" w:rsidR="00426E9B" w:rsidRDefault="00426E9B">
      <w:pPr>
        <w:jc w:val="center"/>
        <w:rPr>
          <w:b/>
        </w:rPr>
      </w:pPr>
    </w:p>
    <w:p w14:paraId="17171B01" w14:textId="77777777" w:rsidR="00426E9B" w:rsidRDefault="00426E9B">
      <w:pPr>
        <w:jc w:val="center"/>
        <w:rPr>
          <w:b/>
        </w:rPr>
      </w:pPr>
    </w:p>
    <w:p w14:paraId="6C73A7A3" w14:textId="77777777" w:rsidR="00426E9B" w:rsidRDefault="00426E9B">
      <w:pPr>
        <w:jc w:val="center"/>
        <w:rPr>
          <w:b/>
        </w:rPr>
      </w:pPr>
    </w:p>
    <w:p w14:paraId="2BF313D9" w14:textId="77777777" w:rsidR="00426E9B" w:rsidRDefault="00426E9B">
      <w:pPr>
        <w:jc w:val="center"/>
        <w:rPr>
          <w:b/>
        </w:rPr>
      </w:pPr>
    </w:p>
    <w:p w14:paraId="274D3A95" w14:textId="77777777" w:rsidR="00426E9B" w:rsidRDefault="00426E9B">
      <w:pPr>
        <w:jc w:val="center"/>
        <w:rPr>
          <w:b/>
        </w:rPr>
      </w:pPr>
    </w:p>
    <w:p w14:paraId="58CD3C4C" w14:textId="77777777" w:rsidR="00426E9B" w:rsidRDefault="00426E9B">
      <w:pPr>
        <w:jc w:val="center"/>
        <w:rPr>
          <w:b/>
        </w:rPr>
      </w:pPr>
    </w:p>
    <w:p w14:paraId="548F051A" w14:textId="77777777" w:rsidR="00426E9B" w:rsidRDefault="00426E9B">
      <w:pPr>
        <w:jc w:val="center"/>
        <w:rPr>
          <w:b/>
        </w:rPr>
      </w:pPr>
    </w:p>
    <w:p w14:paraId="0DC399F4" w14:textId="77777777" w:rsidR="00426E9B" w:rsidRDefault="00426E9B">
      <w:pPr>
        <w:jc w:val="center"/>
        <w:rPr>
          <w:b/>
        </w:rPr>
      </w:pPr>
    </w:p>
    <w:p w14:paraId="23F5E183" w14:textId="77777777" w:rsidR="00426E9B" w:rsidRDefault="00426E9B">
      <w:pPr>
        <w:jc w:val="center"/>
        <w:rPr>
          <w:b/>
        </w:rPr>
      </w:pPr>
    </w:p>
    <w:p w14:paraId="2AD91716" w14:textId="77777777" w:rsidR="00426E9B" w:rsidRDefault="00426E9B">
      <w:pPr>
        <w:jc w:val="center"/>
        <w:rPr>
          <w:b/>
        </w:rPr>
      </w:pPr>
    </w:p>
    <w:p w14:paraId="65577F2E" w14:textId="77777777" w:rsidR="00426E9B" w:rsidRDefault="00426E9B">
      <w:pPr>
        <w:jc w:val="center"/>
        <w:rPr>
          <w:b/>
        </w:rPr>
      </w:pPr>
    </w:p>
    <w:p w14:paraId="68B6FFE5" w14:textId="77777777" w:rsidR="00426E9B" w:rsidRDefault="00426E9B">
      <w:pPr>
        <w:jc w:val="center"/>
        <w:rPr>
          <w:b/>
        </w:rPr>
      </w:pPr>
    </w:p>
    <w:p w14:paraId="4F83DB84" w14:textId="77777777" w:rsidR="00426E9B" w:rsidRDefault="008158F0">
      <w:pPr>
        <w:rPr>
          <w:b/>
        </w:rPr>
      </w:pPr>
      <w:r>
        <w:br w:type="page"/>
      </w:r>
    </w:p>
    <w:p w14:paraId="1089434D" w14:textId="77777777" w:rsidR="00426E9B" w:rsidRDefault="008158F0">
      <w:pPr>
        <w:widowControl w:val="0"/>
        <w:rPr>
          <w:b/>
        </w:rPr>
      </w:pPr>
      <w:r>
        <w:rPr>
          <w:b/>
          <w:sz w:val="20"/>
          <w:szCs w:val="20"/>
        </w:rPr>
        <w:lastRenderedPageBreak/>
        <w:t>Supplementary Table S1. Estimates and significance of considered explanatory variables for logistic regression models.</w:t>
      </w:r>
      <w:r>
        <w:rPr>
          <w:sz w:val="20"/>
          <w:szCs w:val="20"/>
        </w:rPr>
        <w:t xml:space="preserve"> Test statistic used was t value </w:t>
      </w:r>
    </w:p>
    <w:p w14:paraId="7CE7AD79" w14:textId="77777777" w:rsidR="00426E9B" w:rsidRDefault="008158F0">
      <w:pPr>
        <w:rPr>
          <w:b/>
        </w:rPr>
      </w:pPr>
      <w:r>
        <w:rPr>
          <w:b/>
          <w:noProof/>
        </w:rPr>
        <w:drawing>
          <wp:inline distT="114300" distB="114300" distL="114300" distR="114300" wp14:anchorId="2408AF25" wp14:editId="7C33E5FF">
            <wp:extent cx="6511131" cy="2166938"/>
            <wp:effectExtent l="0" t="0" r="0" b="0"/>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6511131" cy="2166938"/>
                    </a:xfrm>
                    <a:prstGeom prst="rect">
                      <a:avLst/>
                    </a:prstGeom>
                    <a:ln/>
                  </pic:spPr>
                </pic:pic>
              </a:graphicData>
            </a:graphic>
          </wp:inline>
        </w:drawing>
      </w:r>
    </w:p>
    <w:p w14:paraId="5EF6E641" w14:textId="77777777" w:rsidR="00426E9B" w:rsidRDefault="00426E9B">
      <w:pPr>
        <w:widowControl w:val="0"/>
        <w:rPr>
          <w:sz w:val="20"/>
          <w:szCs w:val="20"/>
        </w:rPr>
      </w:pPr>
    </w:p>
    <w:p w14:paraId="40EC29A6" w14:textId="77777777" w:rsidR="00426E9B" w:rsidRDefault="00426E9B">
      <w:pPr>
        <w:widowControl w:val="0"/>
        <w:rPr>
          <w:sz w:val="20"/>
          <w:szCs w:val="20"/>
        </w:rPr>
      </w:pPr>
    </w:p>
    <w:p w14:paraId="3F069D92" w14:textId="77777777" w:rsidR="00426E9B" w:rsidRDefault="00426E9B">
      <w:pPr>
        <w:widowControl w:val="0"/>
        <w:rPr>
          <w:sz w:val="20"/>
          <w:szCs w:val="20"/>
        </w:rPr>
      </w:pPr>
    </w:p>
    <w:p w14:paraId="7BD7C2D3" w14:textId="77777777" w:rsidR="00426E9B" w:rsidRDefault="00426E9B">
      <w:pPr>
        <w:widowControl w:val="0"/>
        <w:rPr>
          <w:b/>
        </w:rPr>
      </w:pPr>
    </w:p>
    <w:p w14:paraId="1F5A2239" w14:textId="77777777" w:rsidR="00426E9B" w:rsidRDefault="008158F0">
      <w:pPr>
        <w:jc w:val="center"/>
        <w:rPr>
          <w:b/>
        </w:rPr>
      </w:pPr>
      <w:r>
        <w:rPr>
          <w:b/>
          <w:noProof/>
        </w:rPr>
        <w:drawing>
          <wp:inline distT="114300" distB="114300" distL="114300" distR="114300" wp14:anchorId="6E0B5362" wp14:editId="438AB83C">
            <wp:extent cx="5100638" cy="3147028"/>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100638" cy="3147028"/>
                    </a:xfrm>
                    <a:prstGeom prst="rect">
                      <a:avLst/>
                    </a:prstGeom>
                    <a:ln/>
                  </pic:spPr>
                </pic:pic>
              </a:graphicData>
            </a:graphic>
          </wp:inline>
        </w:drawing>
      </w:r>
    </w:p>
    <w:p w14:paraId="5FDFAB10" w14:textId="77777777" w:rsidR="00426E9B" w:rsidRDefault="00426E9B">
      <w:pPr>
        <w:jc w:val="center"/>
        <w:rPr>
          <w:b/>
        </w:rPr>
      </w:pPr>
    </w:p>
    <w:p w14:paraId="22B27428" w14:textId="77777777" w:rsidR="00426E9B" w:rsidRDefault="00426E9B">
      <w:pPr>
        <w:jc w:val="center"/>
        <w:rPr>
          <w:b/>
        </w:rPr>
      </w:pPr>
    </w:p>
    <w:p w14:paraId="331EF939" w14:textId="77777777" w:rsidR="00426E9B" w:rsidRDefault="008158F0">
      <w:pPr>
        <w:rPr>
          <w:sz w:val="20"/>
          <w:szCs w:val="20"/>
        </w:rPr>
      </w:pPr>
      <w:r>
        <w:rPr>
          <w:b/>
          <w:sz w:val="20"/>
          <w:szCs w:val="20"/>
        </w:rPr>
        <w:t xml:space="preserve">Supplementary Figure S4: Clustering of different OM treatments separated by soil horizon. </w:t>
      </w:r>
      <w:r>
        <w:rPr>
          <w:sz w:val="20"/>
          <w:szCs w:val="20"/>
        </w:rPr>
        <w:t xml:space="preserve">Weighted </w:t>
      </w:r>
      <w:proofErr w:type="spellStart"/>
      <w:r>
        <w:rPr>
          <w:sz w:val="20"/>
          <w:szCs w:val="20"/>
        </w:rPr>
        <w:t>UniFrac</w:t>
      </w:r>
      <w:proofErr w:type="spellEnd"/>
      <w:r>
        <w:rPr>
          <w:sz w:val="20"/>
          <w:szCs w:val="20"/>
        </w:rPr>
        <w:t xml:space="preserve"> </w:t>
      </w:r>
      <w:proofErr w:type="spellStart"/>
      <w:r>
        <w:rPr>
          <w:sz w:val="20"/>
          <w:szCs w:val="20"/>
        </w:rPr>
        <w:t>PCoA</w:t>
      </w:r>
      <w:proofErr w:type="spellEnd"/>
      <w:r>
        <w:rPr>
          <w:sz w:val="20"/>
          <w:szCs w:val="20"/>
        </w:rPr>
        <w:t xml:space="preserve"> ordinations of all three OM treatments and the reference plot (REF). There is no observable distinct clustering pattern between any of the different OM treatments. OM3 (black) was not present in the O horizon. Variance identified by each </w:t>
      </w:r>
      <w:proofErr w:type="spellStart"/>
      <w:r>
        <w:rPr>
          <w:sz w:val="20"/>
          <w:szCs w:val="20"/>
        </w:rPr>
        <w:t>PCoA</w:t>
      </w:r>
      <w:proofErr w:type="spellEnd"/>
      <w:r>
        <w:rPr>
          <w:sz w:val="20"/>
          <w:szCs w:val="20"/>
        </w:rPr>
        <w:t xml:space="preserve"> axis is given in parentheses.</w:t>
      </w:r>
    </w:p>
    <w:p w14:paraId="464BDF9D" w14:textId="77777777" w:rsidR="00426E9B" w:rsidRDefault="00426E9B">
      <w:pPr>
        <w:rPr>
          <w:sz w:val="20"/>
          <w:szCs w:val="20"/>
        </w:rPr>
      </w:pPr>
    </w:p>
    <w:p w14:paraId="67CE770E" w14:textId="77777777" w:rsidR="00426E9B" w:rsidRDefault="00426E9B">
      <w:pPr>
        <w:rPr>
          <w:sz w:val="20"/>
          <w:szCs w:val="20"/>
        </w:rPr>
      </w:pPr>
    </w:p>
    <w:p w14:paraId="76BA38F0" w14:textId="77777777" w:rsidR="00426E9B" w:rsidRDefault="00426E9B">
      <w:pPr>
        <w:rPr>
          <w:sz w:val="20"/>
          <w:szCs w:val="20"/>
        </w:rPr>
      </w:pPr>
    </w:p>
    <w:p w14:paraId="61273BC2" w14:textId="77777777" w:rsidR="00426E9B" w:rsidRDefault="00426E9B">
      <w:pPr>
        <w:rPr>
          <w:sz w:val="20"/>
          <w:szCs w:val="20"/>
        </w:rPr>
      </w:pPr>
    </w:p>
    <w:p w14:paraId="392C62F6" w14:textId="77777777" w:rsidR="00426E9B" w:rsidRDefault="008158F0">
      <w:pPr>
        <w:rPr>
          <w:b/>
        </w:rPr>
      </w:pPr>
      <w:r>
        <w:rPr>
          <w:b/>
          <w:noProof/>
        </w:rPr>
        <w:lastRenderedPageBreak/>
        <w:drawing>
          <wp:inline distT="114300" distB="114300" distL="114300" distR="114300" wp14:anchorId="3BCAA359" wp14:editId="67E96718">
            <wp:extent cx="5943600" cy="478790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43600" cy="4787900"/>
                    </a:xfrm>
                    <a:prstGeom prst="rect">
                      <a:avLst/>
                    </a:prstGeom>
                    <a:ln/>
                  </pic:spPr>
                </pic:pic>
              </a:graphicData>
            </a:graphic>
          </wp:inline>
        </w:drawing>
      </w:r>
    </w:p>
    <w:p w14:paraId="76DD36E7" w14:textId="77777777" w:rsidR="00426E9B" w:rsidRDefault="008158F0">
      <w:pPr>
        <w:rPr>
          <w:sz w:val="20"/>
          <w:szCs w:val="20"/>
        </w:rPr>
      </w:pPr>
      <w:r>
        <w:rPr>
          <w:b/>
          <w:sz w:val="20"/>
          <w:szCs w:val="20"/>
        </w:rPr>
        <w:t xml:space="preserve">Supplementary Figure S5. No differences in microbial diversity between OM treatments. </w:t>
      </w:r>
      <w:r>
        <w:rPr>
          <w:sz w:val="20"/>
          <w:szCs w:val="20"/>
        </w:rPr>
        <w:t xml:space="preserve">Box plot visualization of Shannon Diversity </w:t>
      </w:r>
      <w:r>
        <w:rPr>
          <w:b/>
          <w:sz w:val="20"/>
          <w:szCs w:val="20"/>
        </w:rPr>
        <w:t>(A)</w:t>
      </w:r>
      <w:r>
        <w:rPr>
          <w:sz w:val="20"/>
          <w:szCs w:val="20"/>
        </w:rPr>
        <w:t xml:space="preserve"> and </w:t>
      </w:r>
      <w:proofErr w:type="spellStart"/>
      <w:r>
        <w:rPr>
          <w:sz w:val="20"/>
          <w:szCs w:val="20"/>
        </w:rPr>
        <w:t>Pielou’s</w:t>
      </w:r>
      <w:proofErr w:type="spellEnd"/>
      <w:r>
        <w:rPr>
          <w:sz w:val="20"/>
          <w:szCs w:val="20"/>
        </w:rPr>
        <w:t xml:space="preserve"> Evenness </w:t>
      </w:r>
      <w:r>
        <w:rPr>
          <w:b/>
          <w:sz w:val="20"/>
          <w:szCs w:val="20"/>
        </w:rPr>
        <w:t>(B)</w:t>
      </w:r>
      <w:r>
        <w:rPr>
          <w:sz w:val="20"/>
          <w:szCs w:val="20"/>
        </w:rPr>
        <w:t xml:space="preserve"> metrics done on forest sites in BC separated by OM treatment. Upper and lower box boundaries represent the interquartile range (25%-75%); the middle line represents the median; upper and lower range of whiskers represent maximum and minimum values, respectively. The Kruskal-Wallis (all groups)</w:t>
      </w:r>
      <w:r>
        <w:rPr>
          <w:i/>
          <w:sz w:val="20"/>
          <w:szCs w:val="20"/>
        </w:rPr>
        <w:t xml:space="preserve"> p </w:t>
      </w:r>
      <w:r>
        <w:rPr>
          <w:sz w:val="20"/>
          <w:szCs w:val="20"/>
        </w:rPr>
        <w:t>value is indicated. * indicates statistical significance (p&lt;0.05). *** indicates p&lt;0.001</w:t>
      </w:r>
    </w:p>
    <w:p w14:paraId="1F903D52" w14:textId="77777777" w:rsidR="00426E9B" w:rsidRDefault="00426E9B">
      <w:pPr>
        <w:rPr>
          <w:sz w:val="20"/>
          <w:szCs w:val="20"/>
        </w:rPr>
      </w:pPr>
    </w:p>
    <w:p w14:paraId="7B8D40F0" w14:textId="77777777" w:rsidR="00426E9B" w:rsidRDefault="00426E9B">
      <w:pPr>
        <w:rPr>
          <w:sz w:val="20"/>
          <w:szCs w:val="20"/>
        </w:rPr>
      </w:pPr>
    </w:p>
    <w:p w14:paraId="75012255" w14:textId="77777777" w:rsidR="00426E9B" w:rsidRDefault="00426E9B">
      <w:pPr>
        <w:rPr>
          <w:sz w:val="20"/>
          <w:szCs w:val="20"/>
        </w:rPr>
      </w:pPr>
    </w:p>
    <w:p w14:paraId="478F0D7E" w14:textId="77777777" w:rsidR="00426E9B" w:rsidRDefault="008158F0">
      <w:pPr>
        <w:widowControl w:val="0"/>
        <w:rPr>
          <w:b/>
          <w:sz w:val="20"/>
          <w:szCs w:val="20"/>
        </w:rPr>
      </w:pPr>
      <w:r>
        <w:rPr>
          <w:b/>
          <w:sz w:val="20"/>
          <w:szCs w:val="20"/>
        </w:rPr>
        <w:t xml:space="preserve">Supplementary Table S2. Differentially abundant bacterial classes in OM removal treatment were determined using Indicator Taxa analysis. </w:t>
      </w:r>
    </w:p>
    <w:p w14:paraId="560562EE" w14:textId="77777777" w:rsidR="00426E9B" w:rsidRDefault="008158F0">
      <w:pPr>
        <w:widowControl w:val="0"/>
        <w:rPr>
          <w:sz w:val="20"/>
          <w:szCs w:val="20"/>
        </w:rPr>
      </w:pPr>
      <w:r>
        <w:rPr>
          <w:sz w:val="20"/>
          <w:szCs w:val="20"/>
        </w:rPr>
        <w:t xml:space="preserve">Abbreviations: OM, Organic Matter; OM1, tree stem removal; OM2, whole tree removal; OM3, whole tree and top soil layer removal; REF, reference plot. </w:t>
      </w:r>
    </w:p>
    <w:p w14:paraId="27B11B3B" w14:textId="77777777" w:rsidR="00426E9B" w:rsidRDefault="008158F0">
      <w:pPr>
        <w:widowControl w:val="0"/>
        <w:rPr>
          <w:sz w:val="20"/>
          <w:szCs w:val="20"/>
        </w:rPr>
      </w:pPr>
      <w:r>
        <w:rPr>
          <w:sz w:val="20"/>
          <w:szCs w:val="20"/>
        </w:rPr>
        <w:t xml:space="preserve">Test statistic used was the Indicator value. </w:t>
      </w:r>
    </w:p>
    <w:p w14:paraId="506E66F2" w14:textId="77777777" w:rsidR="00426E9B" w:rsidRDefault="008158F0">
      <w:pPr>
        <w:rPr>
          <w:b/>
        </w:rPr>
      </w:pPr>
      <w:r>
        <w:rPr>
          <w:b/>
          <w:noProof/>
        </w:rPr>
        <w:lastRenderedPageBreak/>
        <w:drawing>
          <wp:inline distT="114300" distB="114300" distL="114300" distR="114300" wp14:anchorId="0024F4CA" wp14:editId="24CFA088">
            <wp:extent cx="5265047" cy="2462213"/>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265047" cy="2462213"/>
                    </a:xfrm>
                    <a:prstGeom prst="rect">
                      <a:avLst/>
                    </a:prstGeom>
                    <a:ln/>
                  </pic:spPr>
                </pic:pic>
              </a:graphicData>
            </a:graphic>
          </wp:inline>
        </w:drawing>
      </w:r>
    </w:p>
    <w:p w14:paraId="36703AD1" w14:textId="77777777" w:rsidR="00426E9B" w:rsidRDefault="00426E9B">
      <w:pPr>
        <w:widowControl w:val="0"/>
        <w:rPr>
          <w:sz w:val="20"/>
          <w:szCs w:val="20"/>
        </w:rPr>
      </w:pPr>
    </w:p>
    <w:p w14:paraId="0A8D22CB" w14:textId="77777777" w:rsidR="00426E9B" w:rsidRDefault="00426E9B">
      <w:pPr>
        <w:widowControl w:val="0"/>
        <w:rPr>
          <w:sz w:val="20"/>
          <w:szCs w:val="20"/>
        </w:rPr>
      </w:pPr>
    </w:p>
    <w:p w14:paraId="637C886E" w14:textId="77777777" w:rsidR="00426E9B" w:rsidRDefault="00426E9B">
      <w:pPr>
        <w:widowControl w:val="0"/>
        <w:rPr>
          <w:sz w:val="20"/>
          <w:szCs w:val="20"/>
        </w:rPr>
      </w:pPr>
    </w:p>
    <w:p w14:paraId="3B8AD720" w14:textId="77777777" w:rsidR="00426E9B" w:rsidRDefault="008158F0">
      <w:pPr>
        <w:widowControl w:val="0"/>
        <w:rPr>
          <w:sz w:val="20"/>
          <w:szCs w:val="20"/>
        </w:rPr>
      </w:pPr>
      <w:r>
        <w:rPr>
          <w:noProof/>
          <w:sz w:val="20"/>
          <w:szCs w:val="20"/>
        </w:rPr>
        <w:drawing>
          <wp:inline distT="19050" distB="19050" distL="19050" distR="19050" wp14:anchorId="4C4E4F42" wp14:editId="734374A2">
            <wp:extent cx="5842053" cy="3595109"/>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842053" cy="3595109"/>
                    </a:xfrm>
                    <a:prstGeom prst="rect">
                      <a:avLst/>
                    </a:prstGeom>
                    <a:ln/>
                  </pic:spPr>
                </pic:pic>
              </a:graphicData>
            </a:graphic>
          </wp:inline>
        </w:drawing>
      </w:r>
    </w:p>
    <w:p w14:paraId="586BC76E" w14:textId="77777777" w:rsidR="00426E9B" w:rsidRDefault="008158F0">
      <w:pPr>
        <w:widowControl w:val="0"/>
        <w:spacing w:line="240" w:lineRule="auto"/>
        <w:jc w:val="both"/>
        <w:rPr>
          <w:sz w:val="20"/>
          <w:szCs w:val="20"/>
        </w:rPr>
      </w:pPr>
      <w:r>
        <w:rPr>
          <w:b/>
          <w:sz w:val="20"/>
          <w:szCs w:val="20"/>
        </w:rPr>
        <w:t>Supplementary figure S6: Composition of bacterial classes relative to OM removal treatments and soil horizon.</w:t>
      </w:r>
      <w:r>
        <w:rPr>
          <w:sz w:val="20"/>
          <w:szCs w:val="20"/>
        </w:rPr>
        <w:t xml:space="preserve"> Composition bar plot shows representative microbial classes with relative abundance over 1%. OM, Organic Matter; OM1, tree stem removal; OM2, whole tree removal; OM3, whole tree and top soil layer removal; REF, reference plot. Each color represents an independent taxonomic class</w:t>
      </w:r>
    </w:p>
    <w:p w14:paraId="39CEBAE0" w14:textId="77777777" w:rsidR="00426E9B" w:rsidRDefault="008158F0">
      <w:pPr>
        <w:rPr>
          <w:b/>
        </w:rPr>
      </w:pPr>
      <w:r>
        <w:rPr>
          <w:b/>
          <w:noProof/>
        </w:rPr>
        <w:lastRenderedPageBreak/>
        <w:drawing>
          <wp:inline distT="19050" distB="19050" distL="19050" distR="19050" wp14:anchorId="7DDE6D00" wp14:editId="59088678">
            <wp:extent cx="5281613" cy="5071945"/>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5281613" cy="5071945"/>
                    </a:xfrm>
                    <a:prstGeom prst="rect">
                      <a:avLst/>
                    </a:prstGeom>
                    <a:ln/>
                  </pic:spPr>
                </pic:pic>
              </a:graphicData>
            </a:graphic>
          </wp:inline>
        </w:drawing>
      </w:r>
    </w:p>
    <w:p w14:paraId="4AE3FD24" w14:textId="77777777" w:rsidR="00426E9B" w:rsidRDefault="00426E9B">
      <w:pPr>
        <w:rPr>
          <w:b/>
        </w:rPr>
      </w:pPr>
    </w:p>
    <w:p w14:paraId="277318C9" w14:textId="77777777" w:rsidR="00426E9B" w:rsidRDefault="008158F0">
      <w:pPr>
        <w:widowControl w:val="0"/>
        <w:spacing w:line="240" w:lineRule="auto"/>
        <w:jc w:val="both"/>
        <w:rPr>
          <w:b/>
        </w:rPr>
      </w:pPr>
      <w:r>
        <w:rPr>
          <w:b/>
          <w:sz w:val="20"/>
          <w:szCs w:val="20"/>
        </w:rPr>
        <w:t xml:space="preserve">Supplementary Figure S7. Indicator Taxa analysis reveals significant abundance differences of bacterial classes based on OM removal treatment. </w:t>
      </w:r>
      <w:r>
        <w:rPr>
          <w:sz w:val="20"/>
          <w:szCs w:val="20"/>
        </w:rPr>
        <w:t>Significant bacterial classes from the Indicator Taxa analysis were run through a logistic regression model to control for confounding variables. The model-predicted relative abundance of the representative classes was plotted based on OM treatment. Upper and lower box boundaries represent the interquartile range (25%-75%); the middle line represents the median; upper and lower range of whiskers represent maximum and minimum values, respectively. Indicator value significance was calculated based on the Permutation.</w:t>
      </w:r>
    </w:p>
    <w:p w14:paraId="058A8E2C" w14:textId="77777777" w:rsidR="00426E9B" w:rsidRDefault="00426E9B">
      <w:pPr>
        <w:rPr>
          <w:b/>
        </w:rPr>
      </w:pPr>
    </w:p>
    <w:p w14:paraId="2F7CD579" w14:textId="77777777" w:rsidR="00426E9B" w:rsidRDefault="00426E9B">
      <w:pPr>
        <w:rPr>
          <w:b/>
        </w:rPr>
      </w:pPr>
    </w:p>
    <w:p w14:paraId="6316523B" w14:textId="77777777" w:rsidR="00426E9B" w:rsidRDefault="008158F0">
      <w:pPr>
        <w:rPr>
          <w:b/>
          <w:sz w:val="20"/>
          <w:szCs w:val="20"/>
        </w:rPr>
      </w:pPr>
      <w:r>
        <w:rPr>
          <w:b/>
        </w:rPr>
        <w:t xml:space="preserve"> </w:t>
      </w:r>
    </w:p>
    <w:p w14:paraId="6A5D8204" w14:textId="77777777" w:rsidR="00426E9B" w:rsidRDefault="00426E9B"/>
    <w:p w14:paraId="2051B277" w14:textId="77777777" w:rsidR="00426E9B" w:rsidRDefault="00426E9B">
      <w:pPr>
        <w:rPr>
          <w:b/>
        </w:rPr>
      </w:pPr>
    </w:p>
    <w:p w14:paraId="79383EFE" w14:textId="77777777" w:rsidR="00426E9B" w:rsidRDefault="00426E9B">
      <w:pPr>
        <w:rPr>
          <w:b/>
        </w:rPr>
      </w:pPr>
    </w:p>
    <w:p w14:paraId="7DD58636" w14:textId="77777777" w:rsidR="00426E9B" w:rsidRDefault="00426E9B">
      <w:pPr>
        <w:rPr>
          <w:b/>
        </w:rPr>
      </w:pPr>
    </w:p>
    <w:p w14:paraId="038AD436" w14:textId="77777777" w:rsidR="00426E9B" w:rsidRDefault="00426E9B">
      <w:pPr>
        <w:rPr>
          <w:b/>
        </w:rPr>
      </w:pPr>
    </w:p>
    <w:p w14:paraId="7FFBC234" w14:textId="77777777" w:rsidR="00426E9B" w:rsidRDefault="00426E9B">
      <w:pPr>
        <w:rPr>
          <w:b/>
        </w:rPr>
      </w:pPr>
    </w:p>
    <w:p w14:paraId="785633A2" w14:textId="77777777" w:rsidR="00426E9B" w:rsidRDefault="00426E9B"/>
    <w:sectPr w:rsidR="00426E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9B"/>
    <w:rsid w:val="001541F2"/>
    <w:rsid w:val="001E5800"/>
    <w:rsid w:val="00315B7C"/>
    <w:rsid w:val="00426E9B"/>
    <w:rsid w:val="005A7412"/>
    <w:rsid w:val="007B32C2"/>
    <w:rsid w:val="008158F0"/>
    <w:rsid w:val="00856DB2"/>
    <w:rsid w:val="00B9168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B1E8"/>
  <w15:docId w15:val="{A365929F-29A5-44DD-8F02-ACD05E22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3138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38E"/>
    <w:rPr>
      <w:rFonts w:ascii="Segoe UI" w:hAnsi="Segoe UI" w:cs="Segoe UI"/>
      <w:sz w:val="18"/>
      <w:szCs w:val="18"/>
    </w:rPr>
  </w:style>
  <w:style w:type="character" w:styleId="CommentReference">
    <w:name w:val="annotation reference"/>
    <w:basedOn w:val="DefaultParagraphFont"/>
    <w:uiPriority w:val="99"/>
    <w:semiHidden/>
    <w:unhideWhenUsed/>
    <w:rsid w:val="0073138E"/>
    <w:rPr>
      <w:sz w:val="16"/>
      <w:szCs w:val="16"/>
    </w:rPr>
  </w:style>
  <w:style w:type="paragraph" w:styleId="CommentText">
    <w:name w:val="annotation text"/>
    <w:basedOn w:val="Normal"/>
    <w:link w:val="CommentTextChar"/>
    <w:uiPriority w:val="99"/>
    <w:semiHidden/>
    <w:unhideWhenUsed/>
    <w:rsid w:val="0073138E"/>
    <w:pPr>
      <w:spacing w:line="240" w:lineRule="auto"/>
    </w:pPr>
    <w:rPr>
      <w:sz w:val="20"/>
      <w:szCs w:val="20"/>
    </w:rPr>
  </w:style>
  <w:style w:type="character" w:customStyle="1" w:styleId="CommentTextChar">
    <w:name w:val="Comment Text Char"/>
    <w:basedOn w:val="DefaultParagraphFont"/>
    <w:link w:val="CommentText"/>
    <w:uiPriority w:val="99"/>
    <w:semiHidden/>
    <w:rsid w:val="0073138E"/>
    <w:rPr>
      <w:sz w:val="20"/>
      <w:szCs w:val="20"/>
    </w:rPr>
  </w:style>
  <w:style w:type="paragraph" w:styleId="CommentSubject">
    <w:name w:val="annotation subject"/>
    <w:basedOn w:val="CommentText"/>
    <w:next w:val="CommentText"/>
    <w:link w:val="CommentSubjectChar"/>
    <w:uiPriority w:val="99"/>
    <w:semiHidden/>
    <w:unhideWhenUsed/>
    <w:rsid w:val="0073138E"/>
    <w:rPr>
      <w:b/>
      <w:bCs/>
    </w:rPr>
  </w:style>
  <w:style w:type="character" w:customStyle="1" w:styleId="CommentSubjectChar">
    <w:name w:val="Comment Subject Char"/>
    <w:basedOn w:val="CommentTextChar"/>
    <w:link w:val="CommentSubject"/>
    <w:uiPriority w:val="99"/>
    <w:semiHidden/>
    <w:rsid w:val="0073138E"/>
    <w:rPr>
      <w:b/>
      <w:bCs/>
      <w:sz w:val="20"/>
      <w:szCs w:val="20"/>
    </w:rPr>
  </w:style>
  <w:style w:type="paragraph" w:styleId="Header">
    <w:name w:val="header"/>
    <w:basedOn w:val="Normal"/>
    <w:link w:val="HeaderChar"/>
    <w:uiPriority w:val="99"/>
    <w:unhideWhenUsed/>
    <w:rsid w:val="00B51FDB"/>
    <w:pPr>
      <w:tabs>
        <w:tab w:val="center" w:pos="4680"/>
        <w:tab w:val="right" w:pos="9360"/>
      </w:tabs>
      <w:spacing w:line="240" w:lineRule="auto"/>
    </w:pPr>
  </w:style>
  <w:style w:type="character" w:customStyle="1" w:styleId="HeaderChar">
    <w:name w:val="Header Char"/>
    <w:basedOn w:val="DefaultParagraphFont"/>
    <w:link w:val="Header"/>
    <w:uiPriority w:val="99"/>
    <w:rsid w:val="00B51FDB"/>
  </w:style>
  <w:style w:type="paragraph" w:styleId="Footer">
    <w:name w:val="footer"/>
    <w:basedOn w:val="Normal"/>
    <w:link w:val="FooterChar"/>
    <w:uiPriority w:val="99"/>
    <w:unhideWhenUsed/>
    <w:rsid w:val="00B51FDB"/>
    <w:pPr>
      <w:tabs>
        <w:tab w:val="center" w:pos="4680"/>
        <w:tab w:val="right" w:pos="9360"/>
      </w:tabs>
      <w:spacing w:line="240" w:lineRule="auto"/>
    </w:pPr>
  </w:style>
  <w:style w:type="character" w:customStyle="1" w:styleId="FooterChar">
    <w:name w:val="Footer Char"/>
    <w:basedOn w:val="DefaultParagraphFont"/>
    <w:link w:val="Footer"/>
    <w:uiPriority w:val="99"/>
    <w:rsid w:val="00B51FDB"/>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https://biorender.com/" TargetMode="Externa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jp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xO/Axq8TOJdsCkCXJrPbbpdppA==">AMUW2mXOk78moh6td2issnve/WmF9dMG7YSLp4L3D456VKFXpGMQJSzcblXGnabLzP9znoXHDPm+ZDRx2K5s1Hz/1sQGkCDhfoaLEkgTY98Onen7rKdFcFOYHLFUULi7aGcJeoOXKjFD9hmsiqJGvsiGRW9ktoJkUZFqbOU0Xw3gGDYGO3SjiuPbjO1+PNrVxfbfCjd8/w8oFj4SbaY+Y1kALqQTcZ3lACKezlNWRk0cERVTt7aEFb58yIHr2+3CeJNZZSrEwJnEATp99hlPdlMBPf8H7lXP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9</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Camilo Burckhardt</dc:creator>
  <cp:lastModifiedBy> </cp:lastModifiedBy>
  <cp:revision>8</cp:revision>
  <dcterms:created xsi:type="dcterms:W3CDTF">2021-08-03T22:03:00Z</dcterms:created>
  <dcterms:modified xsi:type="dcterms:W3CDTF">2021-08-04T01:43:00Z</dcterms:modified>
</cp:coreProperties>
</file>