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D73" w:rsidRDefault="002771F5">
      <w:pPr>
        <w:jc w:val="both"/>
        <w:rPr>
          <w:rFonts w:ascii="Arial" w:eastAsia="Arial" w:hAnsi="Arial" w:cs="Arial"/>
          <w:b/>
          <w:color w:val="000000"/>
        </w:rPr>
      </w:pPr>
      <w:r>
        <w:rPr>
          <w:rFonts w:ascii="Arial" w:eastAsia="Arial" w:hAnsi="Arial" w:cs="Arial"/>
          <w:b/>
          <w:color w:val="000000"/>
        </w:rPr>
        <w:t xml:space="preserve">Supplemental Material </w:t>
      </w:r>
    </w:p>
    <w:p w:rsidR="001B2D73" w:rsidRDefault="002771F5">
      <w:pPr>
        <w:jc w:val="both"/>
        <w:rPr>
          <w:rFonts w:ascii="Arial" w:eastAsia="Arial" w:hAnsi="Arial" w:cs="Arial"/>
          <w:b/>
          <w:color w:val="000000"/>
        </w:rPr>
      </w:pPr>
      <w:r>
        <w:rPr>
          <w:rFonts w:ascii="Arial" w:eastAsia="Arial" w:hAnsi="Arial" w:cs="Arial"/>
          <w:b/>
        </w:rPr>
        <w:t xml:space="preserve">Mark </w:t>
      </w:r>
      <w:proofErr w:type="spellStart"/>
      <w:r>
        <w:rPr>
          <w:rFonts w:ascii="Arial" w:eastAsia="Arial" w:hAnsi="Arial" w:cs="Arial"/>
          <w:b/>
        </w:rPr>
        <w:t>Pitblado</w:t>
      </w:r>
      <w:proofErr w:type="spellEnd"/>
      <w:r>
        <w:rPr>
          <w:rFonts w:ascii="Arial" w:eastAsia="Arial" w:hAnsi="Arial" w:cs="Arial"/>
          <w:b/>
        </w:rPr>
        <w:t xml:space="preserve">, </w:t>
      </w:r>
      <w:r>
        <w:rPr>
          <w:rFonts w:ascii="Arial" w:eastAsia="Arial" w:hAnsi="Arial" w:cs="Arial"/>
          <w:b/>
          <w:color w:val="000000"/>
        </w:rPr>
        <w:t>Sara Kowalski</w:t>
      </w:r>
      <w:r>
        <w:rPr>
          <w:rFonts w:ascii="Arial" w:eastAsia="Arial" w:hAnsi="Arial" w:cs="Arial"/>
          <w:b/>
        </w:rPr>
        <w:t>,</w:t>
      </w:r>
      <w:r>
        <w:rPr>
          <w:rFonts w:ascii="Arial" w:eastAsia="Arial" w:hAnsi="Arial" w:cs="Arial"/>
          <w:b/>
          <w:color w:val="000000"/>
        </w:rPr>
        <w:t xml:space="preserve"> Elizabeth </w:t>
      </w:r>
      <w:proofErr w:type="spellStart"/>
      <w:r>
        <w:rPr>
          <w:rFonts w:ascii="Arial" w:eastAsia="Arial" w:hAnsi="Arial" w:cs="Arial"/>
          <w:b/>
          <w:color w:val="000000"/>
        </w:rPr>
        <w:t>Vaz</w:t>
      </w:r>
      <w:proofErr w:type="spellEnd"/>
      <w:r>
        <w:rPr>
          <w:rFonts w:ascii="Arial" w:eastAsia="Arial" w:hAnsi="Arial" w:cs="Arial"/>
          <w:b/>
          <w:color w:val="000000"/>
        </w:rPr>
        <w:t>, Alannah Wilson</w:t>
      </w:r>
    </w:p>
    <w:p w:rsidR="001B2D73" w:rsidRDefault="001B2D73">
      <w:pPr>
        <w:jc w:val="both"/>
        <w:rPr>
          <w:rFonts w:ascii="Times New Roman" w:eastAsia="Times New Roman" w:hAnsi="Times New Roman" w:cs="Times New Roman"/>
        </w:rPr>
      </w:pPr>
    </w:p>
    <w:p w:rsidR="001B2D73" w:rsidRDefault="001B2D73"/>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B2D73">
        <w:tc>
          <w:tcPr>
            <w:tcW w:w="9350" w:type="dxa"/>
          </w:tcPr>
          <w:p w:rsidR="001B2D73" w:rsidRDefault="002771F5">
            <w:r>
              <w:rPr>
                <w:noProof/>
              </w:rPr>
              <w:drawing>
                <wp:inline distT="0" distB="0" distL="0" distR="0">
                  <wp:extent cx="5774178" cy="2161448"/>
                  <wp:effectExtent l="0" t="0" r="0" b="0"/>
                  <wp:docPr id="16" name="image2.png" descr="Chart, scatt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Chart, scatter chart&#10;&#10;Description automatically generated"/>
                          <pic:cNvPicPr preferRelativeResize="0"/>
                        </pic:nvPicPr>
                        <pic:blipFill>
                          <a:blip r:embed="rId5"/>
                          <a:srcRect t="19619" r="2850" b="15718"/>
                          <a:stretch>
                            <a:fillRect/>
                          </a:stretch>
                        </pic:blipFill>
                        <pic:spPr>
                          <a:xfrm>
                            <a:off x="0" y="0"/>
                            <a:ext cx="5774178" cy="2161448"/>
                          </a:xfrm>
                          <a:prstGeom prst="rect">
                            <a:avLst/>
                          </a:prstGeom>
                          <a:ln/>
                        </pic:spPr>
                      </pic:pic>
                    </a:graphicData>
                  </a:graphic>
                </wp:inline>
              </w:drawing>
            </w:r>
          </w:p>
        </w:tc>
      </w:tr>
      <w:tr w:rsidR="001B2D73">
        <w:tc>
          <w:tcPr>
            <w:tcW w:w="9350" w:type="dxa"/>
          </w:tcPr>
          <w:p w:rsidR="001B2D73" w:rsidRDefault="002771F5">
            <w:r>
              <w:rPr>
                <w:noProof/>
              </w:rPr>
              <w:drawing>
                <wp:inline distT="0" distB="0" distL="0" distR="0">
                  <wp:extent cx="5645208" cy="2207960"/>
                  <wp:effectExtent l="0" t="0" r="0" b="0"/>
                  <wp:docPr id="18" name="image1.png" descr="Chart, scatt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 scatter chart&#10;&#10;Description automatically generated"/>
                          <pic:cNvPicPr preferRelativeResize="0"/>
                        </pic:nvPicPr>
                        <pic:blipFill>
                          <a:blip r:embed="rId6"/>
                          <a:srcRect t="18790" r="5020" b="15156"/>
                          <a:stretch>
                            <a:fillRect/>
                          </a:stretch>
                        </pic:blipFill>
                        <pic:spPr>
                          <a:xfrm>
                            <a:off x="0" y="0"/>
                            <a:ext cx="5645208" cy="2207960"/>
                          </a:xfrm>
                          <a:prstGeom prst="rect">
                            <a:avLst/>
                          </a:prstGeom>
                          <a:ln/>
                        </pic:spPr>
                      </pic:pic>
                    </a:graphicData>
                  </a:graphic>
                </wp:inline>
              </w:drawing>
            </w:r>
          </w:p>
        </w:tc>
      </w:tr>
      <w:tr w:rsidR="001B2D73">
        <w:tc>
          <w:tcPr>
            <w:tcW w:w="9350" w:type="dxa"/>
          </w:tcPr>
          <w:p w:rsidR="001B2D73" w:rsidRDefault="001B2D73">
            <w:pPr>
              <w:rPr>
                <w:rFonts w:ascii="Arial" w:eastAsia="Arial" w:hAnsi="Arial" w:cs="Arial"/>
                <w:b/>
                <w:color w:val="000000"/>
                <w:sz w:val="22"/>
                <w:szCs w:val="22"/>
              </w:rPr>
            </w:pPr>
          </w:p>
          <w:p w:rsidR="001B2D73" w:rsidRDefault="001B2D73">
            <w:pPr>
              <w:rPr>
                <w:rFonts w:ascii="Arial" w:eastAsia="Arial" w:hAnsi="Arial" w:cs="Arial"/>
                <w:b/>
                <w:color w:val="000000"/>
                <w:sz w:val="22"/>
                <w:szCs w:val="22"/>
              </w:rPr>
            </w:pPr>
          </w:p>
          <w:p w:rsidR="001B2D73" w:rsidRDefault="002771F5">
            <w:pPr>
              <w:jc w:val="both"/>
              <w:rPr>
                <w:rFonts w:ascii="Times New Roman" w:eastAsia="Times New Roman" w:hAnsi="Times New Roman" w:cs="Times New Roman"/>
              </w:rPr>
            </w:pPr>
            <w:r>
              <w:rPr>
                <w:rFonts w:ascii="Arial" w:eastAsia="Arial" w:hAnsi="Arial" w:cs="Arial"/>
                <w:b/>
                <w:color w:val="000000"/>
                <w:sz w:val="22"/>
                <w:szCs w:val="22"/>
              </w:rPr>
              <w:t xml:space="preserve">Figure </w:t>
            </w:r>
            <w:r w:rsidR="00A243CA">
              <w:rPr>
                <w:rFonts w:ascii="Arial" w:eastAsia="Arial" w:hAnsi="Arial" w:cs="Arial"/>
                <w:b/>
                <w:color w:val="000000"/>
                <w:sz w:val="22"/>
                <w:szCs w:val="22"/>
              </w:rPr>
              <w:t>S</w:t>
            </w:r>
            <w:r>
              <w:rPr>
                <w:rFonts w:ascii="Arial" w:eastAsia="Arial" w:hAnsi="Arial" w:cs="Arial"/>
                <w:b/>
                <w:color w:val="000000"/>
                <w:sz w:val="22"/>
                <w:szCs w:val="22"/>
              </w:rPr>
              <w:t>1</w:t>
            </w:r>
            <w:r w:rsidR="00A243CA">
              <w:rPr>
                <w:rFonts w:ascii="Arial" w:eastAsia="Arial" w:hAnsi="Arial" w:cs="Arial"/>
                <w:b/>
                <w:color w:val="000000"/>
                <w:sz w:val="22"/>
                <w:szCs w:val="22"/>
              </w:rPr>
              <w:t>.</w:t>
            </w:r>
            <w:r>
              <w:rPr>
                <w:rFonts w:ascii="Arial" w:eastAsia="Arial" w:hAnsi="Arial" w:cs="Arial"/>
                <w:b/>
                <w:color w:val="000000"/>
                <w:sz w:val="22"/>
                <w:szCs w:val="22"/>
              </w:rPr>
              <w:t xml:space="preserve"> Soil abiotic factors show minimal influence on bacterial communities when grouped by sample. </w:t>
            </w:r>
            <w:proofErr w:type="spellStart"/>
            <w:r>
              <w:rPr>
                <w:rFonts w:ascii="Arial" w:eastAsia="Arial" w:hAnsi="Arial" w:cs="Arial"/>
                <w:color w:val="000000"/>
                <w:sz w:val="22"/>
                <w:szCs w:val="22"/>
              </w:rPr>
              <w:t>PCoA</w:t>
            </w:r>
            <w:proofErr w:type="spellEnd"/>
            <w:r>
              <w:rPr>
                <w:rFonts w:ascii="Arial" w:eastAsia="Arial" w:hAnsi="Arial" w:cs="Arial"/>
                <w:color w:val="000000"/>
                <w:sz w:val="22"/>
                <w:szCs w:val="22"/>
              </w:rPr>
              <w:t xml:space="preserve"> plot of weighted </w:t>
            </w:r>
            <w:proofErr w:type="spellStart"/>
            <w:r>
              <w:rPr>
                <w:rFonts w:ascii="Arial" w:eastAsia="Arial" w:hAnsi="Arial" w:cs="Arial"/>
                <w:color w:val="000000"/>
                <w:sz w:val="22"/>
                <w:szCs w:val="22"/>
              </w:rPr>
              <w:t>UniFrac</w:t>
            </w:r>
            <w:proofErr w:type="spellEnd"/>
            <w:r>
              <w:rPr>
                <w:rFonts w:ascii="Arial" w:eastAsia="Arial" w:hAnsi="Arial" w:cs="Arial"/>
                <w:color w:val="000000"/>
                <w:sz w:val="22"/>
                <w:szCs w:val="22"/>
              </w:rPr>
              <w:t xml:space="preserve"> distances for soil samples coloured for </w:t>
            </w:r>
            <w:r>
              <w:rPr>
                <w:rFonts w:ascii="Arial" w:eastAsia="Arial" w:hAnsi="Arial" w:cs="Arial"/>
                <w:b/>
                <w:color w:val="000000"/>
                <w:sz w:val="22"/>
                <w:szCs w:val="22"/>
              </w:rPr>
              <w:t>(A)</w:t>
            </w:r>
            <w:r>
              <w:rPr>
                <w:rFonts w:ascii="Arial" w:eastAsia="Arial" w:hAnsi="Arial" w:cs="Arial"/>
                <w:color w:val="000000"/>
                <w:sz w:val="22"/>
                <w:szCs w:val="22"/>
              </w:rPr>
              <w:t xml:space="preserve"> organic carbon content, </w:t>
            </w:r>
            <w:r>
              <w:rPr>
                <w:rFonts w:ascii="Arial" w:eastAsia="Arial" w:hAnsi="Arial" w:cs="Arial"/>
                <w:b/>
                <w:color w:val="000000"/>
                <w:sz w:val="22"/>
                <w:szCs w:val="22"/>
              </w:rPr>
              <w:t>(B)</w:t>
            </w:r>
            <w:r>
              <w:rPr>
                <w:rFonts w:ascii="Arial" w:eastAsia="Arial" w:hAnsi="Arial" w:cs="Arial"/>
                <w:color w:val="000000"/>
                <w:sz w:val="22"/>
                <w:szCs w:val="22"/>
              </w:rPr>
              <w:t xml:space="preserve"> nitrogen content, </w:t>
            </w:r>
            <w:r>
              <w:rPr>
                <w:rFonts w:ascii="Arial" w:eastAsia="Arial" w:hAnsi="Arial" w:cs="Arial"/>
                <w:b/>
                <w:color w:val="000000"/>
                <w:sz w:val="22"/>
                <w:szCs w:val="22"/>
              </w:rPr>
              <w:t>(C)</w:t>
            </w:r>
            <w:r>
              <w:rPr>
                <w:rFonts w:ascii="Arial" w:eastAsia="Arial" w:hAnsi="Arial" w:cs="Arial"/>
                <w:color w:val="000000"/>
                <w:sz w:val="22"/>
                <w:szCs w:val="22"/>
              </w:rPr>
              <w:t xml:space="preserve"> soil moisture content, and </w:t>
            </w:r>
            <w:r>
              <w:rPr>
                <w:rFonts w:ascii="Arial" w:eastAsia="Arial" w:hAnsi="Arial" w:cs="Arial"/>
                <w:b/>
                <w:color w:val="000000"/>
                <w:sz w:val="22"/>
                <w:szCs w:val="22"/>
              </w:rPr>
              <w:t>(D)</w:t>
            </w:r>
            <w:r>
              <w:rPr>
                <w:rFonts w:ascii="Arial" w:eastAsia="Arial" w:hAnsi="Arial" w:cs="Arial"/>
                <w:color w:val="000000"/>
                <w:sz w:val="22"/>
                <w:szCs w:val="22"/>
              </w:rPr>
              <w:t xml:space="preserve"> pH level. Axes represent variance explained.</w:t>
            </w:r>
          </w:p>
        </w:tc>
      </w:tr>
    </w:tbl>
    <w:p w:rsidR="001B2D73" w:rsidRDefault="001B2D73"/>
    <w:p w:rsidR="001B2D73" w:rsidRDefault="001B2D73"/>
    <w:p w:rsidR="001B2D73" w:rsidRDefault="001B2D73"/>
    <w:p w:rsidR="001B2D73" w:rsidRDefault="001B2D73"/>
    <w:p w:rsidR="001B2D73" w:rsidRDefault="001B2D73"/>
    <w:p w:rsidR="001B2D73" w:rsidRDefault="001B2D73"/>
    <w:p w:rsidR="001B2D73" w:rsidRDefault="001B2D73"/>
    <w:p w:rsidR="001B2D73" w:rsidRDefault="001B2D73"/>
    <w:p w:rsidR="001B2D73" w:rsidRDefault="001B2D73"/>
    <w:p w:rsidR="001B2D73" w:rsidRDefault="001B2D73"/>
    <w:p w:rsidR="001B2D73" w:rsidRDefault="001B2D73"/>
    <w:p w:rsidR="001B2D73" w:rsidRDefault="001B2D73"/>
    <w:p w:rsidR="001B2D73" w:rsidRDefault="001B2D73"/>
    <w:tbl>
      <w:tblPr>
        <w:tblStyle w:val="a0"/>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1B2D73">
        <w:tc>
          <w:tcPr>
            <w:tcW w:w="9360" w:type="dxa"/>
          </w:tcPr>
          <w:p w:rsidR="001B2D73" w:rsidRDefault="002771F5">
            <w:r>
              <w:rPr>
                <w:noProof/>
              </w:rPr>
              <w:drawing>
                <wp:inline distT="0" distB="0" distL="0" distR="0">
                  <wp:extent cx="5943600" cy="2881960"/>
                  <wp:effectExtent l="0" t="0" r="0" b="0"/>
                  <wp:docPr id="17" name="image3.png" descr="Chart, box and whisk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Chart, box and whisker chart&#10;&#10;Description automatically generated"/>
                          <pic:cNvPicPr preferRelativeResize="0"/>
                        </pic:nvPicPr>
                        <pic:blipFill>
                          <a:blip r:embed="rId7"/>
                          <a:srcRect t="6907" b="6874"/>
                          <a:stretch>
                            <a:fillRect/>
                          </a:stretch>
                        </pic:blipFill>
                        <pic:spPr>
                          <a:xfrm>
                            <a:off x="0" y="0"/>
                            <a:ext cx="5943600" cy="2881960"/>
                          </a:xfrm>
                          <a:prstGeom prst="rect">
                            <a:avLst/>
                          </a:prstGeom>
                          <a:ln/>
                        </pic:spPr>
                      </pic:pic>
                    </a:graphicData>
                  </a:graphic>
                </wp:inline>
              </w:drawing>
            </w:r>
          </w:p>
        </w:tc>
      </w:tr>
      <w:tr w:rsidR="001B2D73">
        <w:tc>
          <w:tcPr>
            <w:tcW w:w="9360" w:type="dxa"/>
          </w:tcPr>
          <w:p w:rsidR="001B2D73" w:rsidRDefault="002771F5">
            <w:r>
              <w:rPr>
                <w:noProof/>
              </w:rPr>
              <w:drawing>
                <wp:inline distT="0" distB="0" distL="0" distR="0">
                  <wp:extent cx="5943600" cy="2909438"/>
                  <wp:effectExtent l="0" t="0" r="0" b="0"/>
                  <wp:docPr id="20" name="image4.png" descr="Chart, box and whisk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Chart, box and whisker chart&#10;&#10;Description automatically generated"/>
                          <pic:cNvPicPr preferRelativeResize="0"/>
                        </pic:nvPicPr>
                        <pic:blipFill>
                          <a:blip r:embed="rId8"/>
                          <a:srcRect t="6357" b="6604"/>
                          <a:stretch>
                            <a:fillRect/>
                          </a:stretch>
                        </pic:blipFill>
                        <pic:spPr>
                          <a:xfrm>
                            <a:off x="0" y="0"/>
                            <a:ext cx="5943600" cy="2909438"/>
                          </a:xfrm>
                          <a:prstGeom prst="rect">
                            <a:avLst/>
                          </a:prstGeom>
                          <a:ln/>
                        </pic:spPr>
                      </pic:pic>
                    </a:graphicData>
                  </a:graphic>
                </wp:inline>
              </w:drawing>
            </w:r>
          </w:p>
        </w:tc>
      </w:tr>
      <w:tr w:rsidR="001B2D73">
        <w:tc>
          <w:tcPr>
            <w:tcW w:w="9360" w:type="dxa"/>
          </w:tcPr>
          <w:p w:rsidR="001B2D73" w:rsidRDefault="001B2D73">
            <w:pPr>
              <w:rPr>
                <w:rFonts w:ascii="Arial" w:eastAsia="Arial" w:hAnsi="Arial" w:cs="Arial"/>
                <w:b/>
                <w:color w:val="000000"/>
                <w:sz w:val="22"/>
                <w:szCs w:val="22"/>
              </w:rPr>
            </w:pPr>
          </w:p>
          <w:p w:rsidR="001B2D73" w:rsidRDefault="001B2D73">
            <w:pPr>
              <w:rPr>
                <w:rFonts w:ascii="Arial" w:eastAsia="Arial" w:hAnsi="Arial" w:cs="Arial"/>
                <w:b/>
                <w:color w:val="000000"/>
                <w:sz w:val="22"/>
                <w:szCs w:val="22"/>
              </w:rPr>
            </w:pPr>
          </w:p>
          <w:p w:rsidR="001B2D73" w:rsidRDefault="00A243CA">
            <w:pPr>
              <w:jc w:val="both"/>
              <w:rPr>
                <w:rFonts w:ascii="Arial" w:eastAsia="Arial" w:hAnsi="Arial" w:cs="Arial"/>
                <w:color w:val="000000"/>
                <w:sz w:val="22"/>
                <w:szCs w:val="22"/>
              </w:rPr>
            </w:pPr>
            <w:r>
              <w:rPr>
                <w:rFonts w:ascii="Arial" w:eastAsia="Arial" w:hAnsi="Arial" w:cs="Arial"/>
                <w:b/>
                <w:color w:val="000000"/>
                <w:sz w:val="22"/>
                <w:szCs w:val="22"/>
              </w:rPr>
              <w:t>Figure S</w:t>
            </w:r>
            <w:r w:rsidR="002771F5">
              <w:rPr>
                <w:rFonts w:ascii="Arial" w:eastAsia="Arial" w:hAnsi="Arial" w:cs="Arial"/>
                <w:b/>
                <w:color w:val="000000"/>
                <w:sz w:val="22"/>
                <w:szCs w:val="22"/>
              </w:rPr>
              <w:t>2.</w:t>
            </w:r>
            <w:bookmarkStart w:id="0" w:name="_GoBack"/>
            <w:bookmarkEnd w:id="0"/>
            <w:r w:rsidR="002771F5">
              <w:rPr>
                <w:rFonts w:ascii="Arial" w:eastAsia="Arial" w:hAnsi="Arial" w:cs="Arial"/>
                <w:b/>
                <w:color w:val="000000"/>
                <w:sz w:val="22"/>
                <w:szCs w:val="22"/>
              </w:rPr>
              <w:t xml:space="preserve"> Soil depth impacts the availability of soil abiotic factors. </w:t>
            </w:r>
            <w:r w:rsidR="002771F5">
              <w:rPr>
                <w:rFonts w:ascii="Arial" w:eastAsia="Arial" w:hAnsi="Arial" w:cs="Arial"/>
                <w:color w:val="000000"/>
                <w:sz w:val="22"/>
                <w:szCs w:val="22"/>
              </w:rPr>
              <w:t xml:space="preserve">Box-and-whisker-plot displaying the association of soil depth with </w:t>
            </w:r>
            <w:r w:rsidR="002771F5">
              <w:rPr>
                <w:rFonts w:ascii="Arial" w:eastAsia="Arial" w:hAnsi="Arial" w:cs="Arial"/>
                <w:b/>
                <w:color w:val="000000"/>
                <w:sz w:val="22"/>
                <w:szCs w:val="22"/>
              </w:rPr>
              <w:t>(A)</w:t>
            </w:r>
            <w:r w:rsidR="002771F5">
              <w:rPr>
                <w:rFonts w:ascii="Arial" w:eastAsia="Arial" w:hAnsi="Arial" w:cs="Arial"/>
                <w:color w:val="000000"/>
                <w:sz w:val="22"/>
                <w:szCs w:val="22"/>
              </w:rPr>
              <w:t xml:space="preserve"> organic carbon content, </w:t>
            </w:r>
            <w:r w:rsidR="002771F5">
              <w:rPr>
                <w:rFonts w:ascii="Arial" w:eastAsia="Arial" w:hAnsi="Arial" w:cs="Arial"/>
                <w:b/>
                <w:color w:val="000000"/>
                <w:sz w:val="22"/>
                <w:szCs w:val="22"/>
              </w:rPr>
              <w:t>(B)</w:t>
            </w:r>
            <w:r w:rsidR="002771F5">
              <w:rPr>
                <w:rFonts w:ascii="Arial" w:eastAsia="Arial" w:hAnsi="Arial" w:cs="Arial"/>
                <w:color w:val="000000"/>
                <w:sz w:val="22"/>
                <w:szCs w:val="22"/>
              </w:rPr>
              <w:t xml:space="preserve"> nitrogen content, </w:t>
            </w:r>
            <w:r w:rsidR="002771F5">
              <w:rPr>
                <w:rFonts w:ascii="Arial" w:eastAsia="Arial" w:hAnsi="Arial" w:cs="Arial"/>
                <w:b/>
                <w:color w:val="000000"/>
                <w:sz w:val="22"/>
                <w:szCs w:val="22"/>
              </w:rPr>
              <w:t>(C)</w:t>
            </w:r>
            <w:r w:rsidR="002771F5">
              <w:rPr>
                <w:rFonts w:ascii="Arial" w:eastAsia="Arial" w:hAnsi="Arial" w:cs="Arial"/>
                <w:color w:val="000000"/>
                <w:sz w:val="22"/>
                <w:szCs w:val="22"/>
              </w:rPr>
              <w:t xml:space="preserve"> soil moisture content, and </w:t>
            </w:r>
            <w:r w:rsidR="002771F5">
              <w:rPr>
                <w:rFonts w:ascii="Arial" w:eastAsia="Arial" w:hAnsi="Arial" w:cs="Arial"/>
                <w:b/>
                <w:color w:val="000000"/>
                <w:sz w:val="22"/>
                <w:szCs w:val="22"/>
              </w:rPr>
              <w:t>(D)</w:t>
            </w:r>
            <w:r w:rsidR="002771F5">
              <w:rPr>
                <w:rFonts w:ascii="Arial" w:eastAsia="Arial" w:hAnsi="Arial" w:cs="Arial"/>
                <w:color w:val="000000"/>
                <w:sz w:val="22"/>
                <w:szCs w:val="22"/>
              </w:rPr>
              <w:t xml:space="preserve"> pH level. Boxes represent the interquartile range (IQR) where the median is denoted by the center line and the ends of the box specify the upper (75th) and lower (25th) quartiles. Vertical extending lines indicate the minimum and maximum values. </w:t>
            </w:r>
            <w:r w:rsidR="002771F5">
              <w:rPr>
                <w:rFonts w:ascii="Arial" w:eastAsia="Arial" w:hAnsi="Arial" w:cs="Arial"/>
                <w:b/>
                <w:color w:val="000000"/>
                <w:sz w:val="22"/>
                <w:szCs w:val="22"/>
              </w:rPr>
              <w:t xml:space="preserve">(A-D) </w:t>
            </w:r>
            <w:r w:rsidR="002771F5">
              <w:rPr>
                <w:rFonts w:ascii="Arial" w:eastAsia="Arial" w:hAnsi="Arial" w:cs="Arial"/>
                <w:color w:val="000000"/>
                <w:sz w:val="22"/>
                <w:szCs w:val="22"/>
              </w:rPr>
              <w:t>Lin</w:t>
            </w:r>
            <w:r w:rsidR="002771F5">
              <w:rPr>
                <w:rFonts w:ascii="Arial" w:eastAsia="Arial" w:hAnsi="Arial" w:cs="Arial"/>
                <w:color w:val="000000"/>
                <w:sz w:val="22"/>
                <w:szCs w:val="22"/>
              </w:rPr>
              <w:t>e and star denote a statistically significant difference between the group means; statistical significance was calculated by Wilcoxon sign rank test, *p&lt;0.05.</w:t>
            </w:r>
          </w:p>
          <w:p w:rsidR="001B2D73" w:rsidRDefault="001B2D73"/>
        </w:tc>
      </w:tr>
    </w:tbl>
    <w:p w:rsidR="001B2D73" w:rsidRDefault="001B2D73"/>
    <w:p w:rsidR="001B2D73" w:rsidRDefault="001B2D73"/>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1B2D73">
        <w:tc>
          <w:tcPr>
            <w:tcW w:w="9360" w:type="dxa"/>
          </w:tcPr>
          <w:p w:rsidR="001B2D73" w:rsidRDefault="002771F5">
            <w:r>
              <w:rPr>
                <w:noProof/>
              </w:rPr>
              <w:lastRenderedPageBreak/>
              <w:drawing>
                <wp:inline distT="0" distB="0" distL="0" distR="0">
                  <wp:extent cx="5943600" cy="2890982"/>
                  <wp:effectExtent l="0" t="0" r="0" b="0"/>
                  <wp:docPr id="19" name="image5.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Chart&#10;&#10;Description automatically generated"/>
                          <pic:cNvPicPr preferRelativeResize="0"/>
                        </pic:nvPicPr>
                        <pic:blipFill>
                          <a:blip r:embed="rId9"/>
                          <a:srcRect t="6078" b="7432"/>
                          <a:stretch>
                            <a:fillRect/>
                          </a:stretch>
                        </pic:blipFill>
                        <pic:spPr>
                          <a:xfrm>
                            <a:off x="0" y="0"/>
                            <a:ext cx="5943600" cy="2890982"/>
                          </a:xfrm>
                          <a:prstGeom prst="rect">
                            <a:avLst/>
                          </a:prstGeom>
                          <a:ln/>
                        </pic:spPr>
                      </pic:pic>
                    </a:graphicData>
                  </a:graphic>
                </wp:inline>
              </w:drawing>
            </w:r>
          </w:p>
        </w:tc>
      </w:tr>
      <w:tr w:rsidR="001B2D73">
        <w:tc>
          <w:tcPr>
            <w:tcW w:w="9360" w:type="dxa"/>
          </w:tcPr>
          <w:p w:rsidR="001B2D73" w:rsidRDefault="001B2D73">
            <w:pPr>
              <w:rPr>
                <w:rFonts w:ascii="Arial" w:eastAsia="Arial" w:hAnsi="Arial" w:cs="Arial"/>
                <w:b/>
                <w:color w:val="000000"/>
                <w:sz w:val="22"/>
                <w:szCs w:val="22"/>
              </w:rPr>
            </w:pPr>
          </w:p>
          <w:p w:rsidR="001B2D73" w:rsidRDefault="001B2D73">
            <w:pPr>
              <w:rPr>
                <w:rFonts w:ascii="Arial" w:eastAsia="Arial" w:hAnsi="Arial" w:cs="Arial"/>
                <w:b/>
                <w:color w:val="000000"/>
                <w:sz w:val="22"/>
                <w:szCs w:val="22"/>
              </w:rPr>
            </w:pPr>
          </w:p>
          <w:p w:rsidR="001B2D73" w:rsidRDefault="00A243CA">
            <w:pPr>
              <w:jc w:val="both"/>
            </w:pPr>
            <w:r>
              <w:rPr>
                <w:rFonts w:ascii="Arial" w:eastAsia="Arial" w:hAnsi="Arial" w:cs="Arial"/>
                <w:b/>
                <w:color w:val="000000"/>
                <w:sz w:val="22"/>
                <w:szCs w:val="22"/>
              </w:rPr>
              <w:t>Figure S</w:t>
            </w:r>
            <w:r w:rsidR="002771F5">
              <w:rPr>
                <w:rFonts w:ascii="Arial" w:eastAsia="Arial" w:hAnsi="Arial" w:cs="Arial"/>
                <w:b/>
                <w:color w:val="000000"/>
                <w:sz w:val="22"/>
                <w:szCs w:val="22"/>
              </w:rPr>
              <w:t>3.</w:t>
            </w:r>
            <w:r w:rsidR="002771F5">
              <w:rPr>
                <w:rFonts w:ascii="Arial" w:eastAsia="Arial" w:hAnsi="Arial" w:cs="Arial"/>
                <w:b/>
                <w:color w:val="000000"/>
                <w:sz w:val="22"/>
                <w:szCs w:val="22"/>
              </w:rPr>
              <w:t xml:space="preserve"> Organic matter removal shows no substantial impact on pH and soil moisture levels. </w:t>
            </w:r>
            <w:r w:rsidR="002771F5">
              <w:rPr>
                <w:rFonts w:ascii="Arial" w:eastAsia="Arial" w:hAnsi="Arial" w:cs="Arial"/>
                <w:color w:val="000000"/>
                <w:sz w:val="22"/>
                <w:szCs w:val="22"/>
              </w:rPr>
              <w:t xml:space="preserve">Box-and-whisker-plot displaying the association of deforestation treatment with </w:t>
            </w:r>
            <w:r w:rsidR="002771F5">
              <w:rPr>
                <w:rFonts w:ascii="Arial" w:eastAsia="Arial" w:hAnsi="Arial" w:cs="Arial"/>
                <w:b/>
                <w:color w:val="000000"/>
                <w:sz w:val="22"/>
                <w:szCs w:val="22"/>
              </w:rPr>
              <w:t>(A)</w:t>
            </w:r>
            <w:r w:rsidR="002771F5">
              <w:rPr>
                <w:rFonts w:ascii="Arial" w:eastAsia="Arial" w:hAnsi="Arial" w:cs="Arial"/>
                <w:color w:val="000000"/>
                <w:sz w:val="22"/>
                <w:szCs w:val="22"/>
              </w:rPr>
              <w:t xml:space="preserve"> soil moisture content and </w:t>
            </w:r>
            <w:r w:rsidR="002771F5">
              <w:rPr>
                <w:rFonts w:ascii="Arial" w:eastAsia="Arial" w:hAnsi="Arial" w:cs="Arial"/>
                <w:b/>
                <w:color w:val="000000"/>
                <w:sz w:val="22"/>
                <w:szCs w:val="22"/>
              </w:rPr>
              <w:t>(B)</w:t>
            </w:r>
            <w:r w:rsidR="002771F5">
              <w:rPr>
                <w:rFonts w:ascii="Arial" w:eastAsia="Arial" w:hAnsi="Arial" w:cs="Arial"/>
                <w:color w:val="000000"/>
                <w:sz w:val="22"/>
                <w:szCs w:val="22"/>
              </w:rPr>
              <w:t xml:space="preserve"> pH level. Deforestation treatments i</w:t>
            </w:r>
            <w:r w:rsidR="002771F5">
              <w:rPr>
                <w:rFonts w:ascii="Arial" w:eastAsia="Arial" w:hAnsi="Arial" w:cs="Arial"/>
                <w:color w:val="000000"/>
                <w:sz w:val="22"/>
                <w:szCs w:val="22"/>
              </w:rPr>
              <w:t>ncluded removal of tree branches (OM1), removal of tree trunks and branches (OM2), or removal of whole trees and the entire topsoil layer (OM3). Reference samples were taken from nearby unharvested plots. Boxes represent the interquartile range (IQR) where</w:t>
            </w:r>
            <w:r w:rsidR="002771F5">
              <w:rPr>
                <w:rFonts w:ascii="Arial" w:eastAsia="Arial" w:hAnsi="Arial" w:cs="Arial"/>
                <w:color w:val="000000"/>
                <w:sz w:val="22"/>
                <w:szCs w:val="22"/>
              </w:rPr>
              <w:t xml:space="preserve"> the median is denoted by the center line and the ends of the box specify the upper (75th) and lower (25th) quartiles. Vertical extending lines indicate the minimum and maximum values. OM = organic matter; REF = reference.</w:t>
            </w:r>
            <w:r w:rsidR="002771F5">
              <w:rPr>
                <w:rFonts w:ascii="Arial" w:eastAsia="Arial" w:hAnsi="Arial" w:cs="Arial"/>
                <w:b/>
                <w:color w:val="000000"/>
                <w:sz w:val="22"/>
                <w:szCs w:val="22"/>
              </w:rPr>
              <w:t xml:space="preserve"> </w:t>
            </w:r>
          </w:p>
        </w:tc>
      </w:tr>
    </w:tbl>
    <w:p w:rsidR="001B2D73" w:rsidRDefault="001B2D73"/>
    <w:p w:rsidR="001B2D73" w:rsidRDefault="001B2D73"/>
    <w:p w:rsidR="001B2D73" w:rsidRDefault="001B2D73"/>
    <w:p w:rsidR="001B2D73" w:rsidRDefault="001B2D73"/>
    <w:p w:rsidR="001B2D73" w:rsidRDefault="001B2D73"/>
    <w:p w:rsidR="001B2D73" w:rsidRDefault="001B2D73"/>
    <w:p w:rsidR="001B2D73" w:rsidRDefault="001B2D73"/>
    <w:p w:rsidR="001B2D73" w:rsidRDefault="001B2D73"/>
    <w:p w:rsidR="001B2D73" w:rsidRDefault="001B2D73"/>
    <w:p w:rsidR="001B2D73" w:rsidRDefault="001B2D73"/>
    <w:p w:rsidR="001B2D73" w:rsidRDefault="001B2D73"/>
    <w:p w:rsidR="001B2D73" w:rsidRDefault="001B2D73"/>
    <w:p w:rsidR="001B2D73" w:rsidRDefault="001B2D73"/>
    <w:p w:rsidR="001B2D73" w:rsidRDefault="001B2D73"/>
    <w:p w:rsidR="001B2D73" w:rsidRDefault="001B2D73"/>
    <w:p w:rsidR="001B2D73" w:rsidRDefault="001B2D73"/>
    <w:sectPr w:rsidR="001B2D73">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D73"/>
    <w:rsid w:val="001B2D73"/>
    <w:rsid w:val="002771F5"/>
    <w:rsid w:val="00A243C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1F91"/>
  <w15:docId w15:val="{F293950F-B6CD-429B-92C4-6423BEF7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B179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847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nWgK7fUZ6XFFycGtyzEidPc4qQ==">AMUW2mXVThThsNkkIBb4F+UY7mLoa42uEm0Tx0ENc2Go5Fty6eYj0JT/DWWSQO15w5xILdjJjaWEQhwDyNW7mhfCF1CthC/cG1F4238n4GH5lGeh9DQxHgU=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saramkowalski64@gmail.com</dc:creator>
  <cp:lastModifiedBy> </cp:lastModifiedBy>
  <cp:revision>3</cp:revision>
  <dcterms:created xsi:type="dcterms:W3CDTF">2021-08-04T03:32:00Z</dcterms:created>
  <dcterms:modified xsi:type="dcterms:W3CDTF">2021-08-06T19:50:00Z</dcterms:modified>
</cp:coreProperties>
</file>