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448A7" w:rsidRDefault="00E03D14">
      <w:pPr>
        <w:jc w:val="center"/>
      </w:pPr>
      <w:r>
        <w:rPr>
          <w:noProof/>
        </w:rPr>
        <w:drawing>
          <wp:inline distT="114300" distB="114300" distL="114300" distR="114300">
            <wp:extent cx="4966401" cy="259556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r="31891"/>
                    <a:stretch>
                      <a:fillRect/>
                    </a:stretch>
                  </pic:blipFill>
                  <pic:spPr>
                    <a:xfrm>
                      <a:off x="0" y="0"/>
                      <a:ext cx="4966401" cy="2595563"/>
                    </a:xfrm>
                    <a:prstGeom prst="rect">
                      <a:avLst/>
                    </a:prstGeom>
                    <a:ln/>
                  </pic:spPr>
                </pic:pic>
              </a:graphicData>
            </a:graphic>
          </wp:inline>
        </w:drawing>
      </w:r>
    </w:p>
    <w:p w14:paraId="00000002" w14:textId="77777777" w:rsidR="00D448A7" w:rsidRDefault="00E03D1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Supplementary Figure 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Mean annual precipitation and soil moisture content positively correlated with sample Shannon diversity. </w:t>
      </w:r>
      <w:r>
        <w:rPr>
          <w:rFonts w:ascii="Times New Roman" w:eastAsia="Times New Roman" w:hAnsi="Times New Roman" w:cs="Times New Roman"/>
          <w:sz w:val="24"/>
          <w:szCs w:val="24"/>
        </w:rPr>
        <w:t>(A) Shannon diversity index boxplot for low (146-193 mm) and high (300 mm) levels of mean annual precipitation (N</w:t>
      </w:r>
      <w:r>
        <w:rPr>
          <w:rFonts w:ascii="Times New Roman" w:eastAsia="Times New Roman" w:hAnsi="Times New Roman" w:cs="Times New Roman"/>
          <w:sz w:val="24"/>
          <w:szCs w:val="24"/>
          <w:vertAlign w:val="subscript"/>
        </w:rPr>
        <w:t xml:space="preserve">146-193 mm </w:t>
      </w:r>
      <w:r>
        <w:rPr>
          <w:rFonts w:ascii="Times New Roman" w:eastAsia="Times New Roman" w:hAnsi="Times New Roman" w:cs="Times New Roman"/>
          <w:sz w:val="24"/>
          <w:szCs w:val="24"/>
        </w:rPr>
        <w:t>= 52, N</w:t>
      </w:r>
      <w:r>
        <w:rPr>
          <w:rFonts w:ascii="Times New Roman" w:eastAsia="Times New Roman" w:hAnsi="Times New Roman" w:cs="Times New Roman"/>
          <w:sz w:val="24"/>
          <w:szCs w:val="24"/>
          <w:vertAlign w:val="subscript"/>
        </w:rPr>
        <w:t>300 mm</w:t>
      </w:r>
      <w:r>
        <w:rPr>
          <w:rFonts w:ascii="Times New Roman" w:eastAsia="Times New Roman" w:hAnsi="Times New Roman" w:cs="Times New Roman"/>
          <w:sz w:val="24"/>
          <w:szCs w:val="24"/>
        </w:rPr>
        <w:t xml:space="preserve"> = 42). (B) Boxplot showing Shannon diversity index for each soil moisture content group (N</w:t>
      </w:r>
      <w:r>
        <w:rPr>
          <w:rFonts w:ascii="Times New Roman" w:eastAsia="Times New Roman" w:hAnsi="Times New Roman" w:cs="Times New Roman"/>
          <w:sz w:val="24"/>
          <w:szCs w:val="24"/>
          <w:vertAlign w:val="subscript"/>
        </w:rPr>
        <w:t>40-50%</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13 ,</w:t>
      </w:r>
      <w:proofErr w:type="gramEnd"/>
      <w:r>
        <w:rPr>
          <w:rFonts w:ascii="Times New Roman" w:eastAsia="Times New Roman" w:hAnsi="Times New Roman" w:cs="Times New Roman"/>
          <w:sz w:val="24"/>
          <w:szCs w:val="24"/>
        </w:rPr>
        <w:t xml:space="preserve"> N</w:t>
      </w:r>
      <w:r>
        <w:rPr>
          <w:rFonts w:ascii="Times New Roman" w:eastAsia="Times New Roman" w:hAnsi="Times New Roman" w:cs="Times New Roman"/>
          <w:sz w:val="24"/>
          <w:szCs w:val="24"/>
          <w:vertAlign w:val="subscript"/>
        </w:rPr>
        <w:t>50-60%</w:t>
      </w:r>
      <w:r>
        <w:rPr>
          <w:rFonts w:ascii="Times New Roman" w:eastAsia="Times New Roman" w:hAnsi="Times New Roman" w:cs="Times New Roman"/>
          <w:sz w:val="24"/>
          <w:szCs w:val="24"/>
        </w:rPr>
        <w:t xml:space="preserve"> = 30, N</w:t>
      </w:r>
      <w:r>
        <w:rPr>
          <w:rFonts w:ascii="Times New Roman" w:eastAsia="Times New Roman" w:hAnsi="Times New Roman" w:cs="Times New Roman"/>
          <w:sz w:val="24"/>
          <w:szCs w:val="24"/>
          <w:vertAlign w:val="subscript"/>
        </w:rPr>
        <w:t>60-70%</w:t>
      </w:r>
      <w:r>
        <w:rPr>
          <w:rFonts w:ascii="Times New Roman" w:eastAsia="Times New Roman" w:hAnsi="Times New Roman" w:cs="Times New Roman"/>
          <w:sz w:val="24"/>
          <w:szCs w:val="24"/>
        </w:rPr>
        <w:t xml:space="preserve"> = 32 , N</w:t>
      </w:r>
      <w:r>
        <w:rPr>
          <w:rFonts w:ascii="Times New Roman" w:eastAsia="Times New Roman" w:hAnsi="Times New Roman" w:cs="Times New Roman"/>
          <w:sz w:val="24"/>
          <w:szCs w:val="24"/>
          <w:vertAlign w:val="subscript"/>
        </w:rPr>
        <w:t>70-80%</w:t>
      </w:r>
      <w:r>
        <w:rPr>
          <w:rFonts w:ascii="Times New Roman" w:eastAsia="Times New Roman" w:hAnsi="Times New Roman" w:cs="Times New Roman"/>
          <w:sz w:val="24"/>
          <w:szCs w:val="24"/>
        </w:rPr>
        <w:t xml:space="preserve"> = 10, N</w:t>
      </w:r>
      <w:r>
        <w:rPr>
          <w:rFonts w:ascii="Times New Roman" w:eastAsia="Times New Roman" w:hAnsi="Times New Roman" w:cs="Times New Roman"/>
          <w:sz w:val="24"/>
          <w:szCs w:val="24"/>
          <w:vertAlign w:val="subscript"/>
        </w:rPr>
        <w:t>80-90%</w:t>
      </w:r>
      <w:r>
        <w:rPr>
          <w:rFonts w:ascii="Times New Roman" w:eastAsia="Times New Roman" w:hAnsi="Times New Roman" w:cs="Times New Roman"/>
          <w:sz w:val="24"/>
          <w:szCs w:val="24"/>
        </w:rPr>
        <w:t xml:space="preserve"> = 16 , N</w:t>
      </w:r>
      <w:r>
        <w:rPr>
          <w:rFonts w:ascii="Times New Roman" w:eastAsia="Times New Roman" w:hAnsi="Times New Roman" w:cs="Times New Roman"/>
          <w:sz w:val="24"/>
          <w:szCs w:val="24"/>
          <w:vertAlign w:val="subscript"/>
        </w:rPr>
        <w:t>90-100%</w:t>
      </w:r>
      <w:r>
        <w:rPr>
          <w:rFonts w:ascii="Times New Roman" w:eastAsia="Times New Roman" w:hAnsi="Times New Roman" w:cs="Times New Roman"/>
          <w:sz w:val="24"/>
          <w:szCs w:val="24"/>
        </w:rPr>
        <w:t xml:space="preserve"> = 3). (***) = statistical significance (p &lt; 0.0001). </w:t>
      </w:r>
    </w:p>
    <w:p w14:paraId="00000003" w14:textId="77777777" w:rsidR="00D448A7" w:rsidRDefault="00D448A7">
      <w:pPr>
        <w:jc w:val="both"/>
        <w:rPr>
          <w:rFonts w:ascii="Times New Roman" w:eastAsia="Times New Roman" w:hAnsi="Times New Roman" w:cs="Times New Roman"/>
          <w:sz w:val="24"/>
          <w:szCs w:val="24"/>
        </w:rPr>
      </w:pPr>
    </w:p>
    <w:p w14:paraId="00000004" w14:textId="77777777" w:rsidR="00D448A7" w:rsidRDefault="00D448A7">
      <w:pPr>
        <w:jc w:val="both"/>
        <w:rPr>
          <w:rFonts w:ascii="Times New Roman" w:eastAsia="Times New Roman" w:hAnsi="Times New Roman" w:cs="Times New Roman"/>
          <w:sz w:val="24"/>
          <w:szCs w:val="24"/>
        </w:rPr>
      </w:pPr>
    </w:p>
    <w:p w14:paraId="00000005" w14:textId="77777777" w:rsidR="00D448A7" w:rsidRDefault="00D448A7">
      <w:pPr>
        <w:jc w:val="both"/>
        <w:rPr>
          <w:rFonts w:ascii="Times New Roman" w:eastAsia="Times New Roman" w:hAnsi="Times New Roman" w:cs="Times New Roman"/>
          <w:sz w:val="24"/>
          <w:szCs w:val="24"/>
        </w:rPr>
      </w:pPr>
    </w:p>
    <w:p w14:paraId="00000006" w14:textId="77777777" w:rsidR="00D448A7" w:rsidRDefault="00E03D14">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3810000" cy="267652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t="12961" r="57852" b="4130"/>
                    <a:stretch>
                      <a:fillRect/>
                    </a:stretch>
                  </pic:blipFill>
                  <pic:spPr>
                    <a:xfrm>
                      <a:off x="0" y="0"/>
                      <a:ext cx="3810000" cy="2676525"/>
                    </a:xfrm>
                    <a:prstGeom prst="rect">
                      <a:avLst/>
                    </a:prstGeom>
                    <a:ln/>
                  </pic:spPr>
                </pic:pic>
              </a:graphicData>
            </a:graphic>
          </wp:inline>
        </w:drawing>
      </w:r>
    </w:p>
    <w:p w14:paraId="00000007" w14:textId="77777777" w:rsidR="00D448A7" w:rsidRDefault="00D448A7">
      <w:pPr>
        <w:jc w:val="both"/>
        <w:rPr>
          <w:rFonts w:ascii="Times New Roman" w:eastAsia="Times New Roman" w:hAnsi="Times New Roman" w:cs="Times New Roman"/>
          <w:sz w:val="24"/>
          <w:szCs w:val="24"/>
        </w:rPr>
      </w:pPr>
    </w:p>
    <w:p w14:paraId="00000008" w14:textId="77777777" w:rsidR="00D448A7" w:rsidRDefault="00E03D1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Supplementary Figure 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PCA analysis of weighted </w:t>
      </w:r>
      <w:proofErr w:type="spellStart"/>
      <w:r>
        <w:rPr>
          <w:rFonts w:ascii="Times New Roman" w:eastAsia="Times New Roman" w:hAnsi="Times New Roman" w:cs="Times New Roman"/>
          <w:b/>
          <w:sz w:val="24"/>
          <w:szCs w:val="24"/>
        </w:rPr>
        <w:t>UniFrac</w:t>
      </w:r>
      <w:proofErr w:type="spellEnd"/>
      <w:r>
        <w:rPr>
          <w:rFonts w:ascii="Times New Roman" w:eastAsia="Times New Roman" w:hAnsi="Times New Roman" w:cs="Times New Roman"/>
          <w:b/>
          <w:sz w:val="24"/>
          <w:szCs w:val="24"/>
        </w:rPr>
        <w:t xml:space="preserve"> distance showed clustering of samples into two distinct mean annual precipitation group</w:t>
      </w:r>
      <w:r>
        <w:rPr>
          <w:rFonts w:ascii="Times New Roman" w:eastAsia="Times New Roman" w:hAnsi="Times New Roman" w:cs="Times New Roman"/>
          <w:b/>
          <w:sz w:val="24"/>
          <w:szCs w:val="24"/>
        </w:rPr>
        <w:t>s</w:t>
      </w:r>
      <w:r>
        <w:rPr>
          <w:rFonts w:ascii="Times New Roman" w:eastAsia="Times New Roman" w:hAnsi="Times New Roman" w:cs="Times New Roman"/>
          <w:sz w:val="24"/>
          <w:szCs w:val="24"/>
        </w:rPr>
        <w:t>. The two groups were low (146-193 mm) and high (300 mm) mean annual precipitation (N</w:t>
      </w:r>
      <w:r>
        <w:rPr>
          <w:rFonts w:ascii="Times New Roman" w:eastAsia="Times New Roman" w:hAnsi="Times New Roman" w:cs="Times New Roman"/>
          <w:sz w:val="24"/>
          <w:szCs w:val="24"/>
          <w:vertAlign w:val="subscript"/>
        </w:rPr>
        <w:t xml:space="preserve">146-193 mm </w:t>
      </w:r>
      <w:r>
        <w:rPr>
          <w:rFonts w:ascii="Times New Roman" w:eastAsia="Times New Roman" w:hAnsi="Times New Roman" w:cs="Times New Roman"/>
          <w:sz w:val="24"/>
          <w:szCs w:val="24"/>
        </w:rPr>
        <w:t>= 52, N</w:t>
      </w:r>
      <w:r>
        <w:rPr>
          <w:rFonts w:ascii="Times New Roman" w:eastAsia="Times New Roman" w:hAnsi="Times New Roman" w:cs="Times New Roman"/>
          <w:sz w:val="24"/>
          <w:szCs w:val="24"/>
          <w:vertAlign w:val="subscript"/>
        </w:rPr>
        <w:t>300 mm</w:t>
      </w:r>
      <w:r>
        <w:rPr>
          <w:rFonts w:ascii="Times New Roman" w:eastAsia="Times New Roman" w:hAnsi="Times New Roman" w:cs="Times New Roman"/>
          <w:sz w:val="24"/>
          <w:szCs w:val="24"/>
        </w:rPr>
        <w:t xml:space="preserve"> = 42).</w:t>
      </w:r>
    </w:p>
    <w:p w14:paraId="00000009" w14:textId="77777777" w:rsidR="00D448A7" w:rsidRDefault="00D448A7">
      <w:pPr>
        <w:jc w:val="both"/>
        <w:rPr>
          <w:rFonts w:ascii="Times New Roman" w:eastAsia="Times New Roman" w:hAnsi="Times New Roman" w:cs="Times New Roman"/>
          <w:sz w:val="24"/>
          <w:szCs w:val="24"/>
        </w:rPr>
      </w:pPr>
    </w:p>
    <w:p w14:paraId="0000000A" w14:textId="4AED0882" w:rsidR="00D448A7" w:rsidRDefault="0065286A">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026C4CE1" wp14:editId="3FB3AEDF">
            <wp:extent cx="5943600" cy="2797175"/>
            <wp:effectExtent l="0" t="0" r="0" b="3175"/>
            <wp:docPr id="5" name="Picture 5"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low confidence"/>
                    <pic:cNvPicPr/>
                  </pic:nvPicPr>
                  <pic:blipFill rotWithShape="1">
                    <a:blip r:embed="rId8" cstate="print">
                      <a:extLst>
                        <a:ext uri="{28A0092B-C50C-407E-A947-70E740481C1C}">
                          <a14:useLocalDpi xmlns:a14="http://schemas.microsoft.com/office/drawing/2010/main" val="0"/>
                        </a:ext>
                      </a:extLst>
                    </a:blip>
                    <a:srcRect t="4383" b="51239"/>
                    <a:stretch/>
                  </pic:blipFill>
                  <pic:spPr bwMode="auto">
                    <a:xfrm>
                      <a:off x="0" y="0"/>
                      <a:ext cx="5943600" cy="2797175"/>
                    </a:xfrm>
                    <a:prstGeom prst="rect">
                      <a:avLst/>
                    </a:prstGeom>
                    <a:ln>
                      <a:noFill/>
                    </a:ln>
                    <a:extLst>
                      <a:ext uri="{53640926-AAD7-44D8-BBD7-CCE9431645EC}">
                        <a14:shadowObscured xmlns:a14="http://schemas.microsoft.com/office/drawing/2010/main"/>
                      </a:ext>
                    </a:extLst>
                  </pic:spPr>
                </pic:pic>
              </a:graphicData>
            </a:graphic>
          </wp:inline>
        </w:drawing>
      </w:r>
    </w:p>
    <w:p w14:paraId="0000000B" w14:textId="77777777" w:rsidR="00D448A7" w:rsidRDefault="00E03D1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Supplementary Figure 3.</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i/>
          <w:sz w:val="24"/>
          <w:szCs w:val="24"/>
        </w:rPr>
        <w:t>Bradyrhizobium</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i/>
          <w:sz w:val="24"/>
          <w:szCs w:val="24"/>
        </w:rPr>
        <w:t>Rhodoplanes</w:t>
      </w:r>
      <w:proofErr w:type="spellEnd"/>
      <w:r>
        <w:rPr>
          <w:rFonts w:ascii="Times New Roman" w:eastAsia="Times New Roman" w:hAnsi="Times New Roman" w:cs="Times New Roman"/>
          <w:b/>
          <w:sz w:val="24"/>
          <w:szCs w:val="24"/>
        </w:rPr>
        <w:t xml:space="preserve">, and </w:t>
      </w:r>
      <w:proofErr w:type="spellStart"/>
      <w:r>
        <w:rPr>
          <w:rFonts w:ascii="Times New Roman" w:eastAsia="Times New Roman" w:hAnsi="Times New Roman" w:cs="Times New Roman"/>
          <w:b/>
          <w:i/>
          <w:sz w:val="24"/>
          <w:szCs w:val="24"/>
        </w:rPr>
        <w:t>Methylocystaceae</w:t>
      </w:r>
      <w:proofErr w:type="spellEnd"/>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were the most abundant taxa in both the SBS</w:t>
      </w:r>
      <w:r>
        <w:rPr>
          <w:rFonts w:ascii="Times New Roman" w:eastAsia="Times New Roman" w:hAnsi="Times New Roman" w:cs="Times New Roman"/>
          <w:b/>
          <w:sz w:val="24"/>
          <w:szCs w:val="24"/>
          <w:vertAlign w:val="subscript"/>
        </w:rPr>
        <w:t xml:space="preserve">BC </w:t>
      </w:r>
      <w:r>
        <w:rPr>
          <w:rFonts w:ascii="Times New Roman" w:eastAsia="Times New Roman" w:hAnsi="Times New Roman" w:cs="Times New Roman"/>
          <w:b/>
          <w:sz w:val="24"/>
          <w:szCs w:val="24"/>
        </w:rPr>
        <w:t>and IDF</w:t>
      </w:r>
      <w:r>
        <w:rPr>
          <w:rFonts w:ascii="Times New Roman" w:eastAsia="Times New Roman" w:hAnsi="Times New Roman" w:cs="Times New Roman"/>
          <w:b/>
          <w:sz w:val="24"/>
          <w:szCs w:val="24"/>
          <w:vertAlign w:val="subscript"/>
        </w:rPr>
        <w:t>BC</w:t>
      </w:r>
      <w:r>
        <w:rPr>
          <w:rFonts w:ascii="Times New Roman" w:eastAsia="Times New Roman" w:hAnsi="Times New Roman" w:cs="Times New Roman"/>
          <w:b/>
          <w:sz w:val="24"/>
          <w:szCs w:val="24"/>
        </w:rPr>
        <w:t xml:space="preserve"> ecozo</w:t>
      </w:r>
      <w:r>
        <w:rPr>
          <w:rFonts w:ascii="Times New Roman" w:eastAsia="Times New Roman" w:hAnsi="Times New Roman" w:cs="Times New Roman"/>
          <w:b/>
          <w:sz w:val="24"/>
          <w:szCs w:val="24"/>
        </w:rPr>
        <w:t xml:space="preserve">nes. </w:t>
      </w:r>
      <w:r>
        <w:rPr>
          <w:rFonts w:ascii="Times New Roman" w:eastAsia="Times New Roman" w:hAnsi="Times New Roman" w:cs="Times New Roman"/>
          <w:sz w:val="24"/>
          <w:szCs w:val="24"/>
        </w:rPr>
        <w:t>The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axonomy bar plot shows the three taxa (dark grey, brown, yellow) present at the highest relative frequency in both ecozones. Less abundant bacterial families are all collectively represented in light grey.</w:t>
      </w:r>
    </w:p>
    <w:p w14:paraId="00000017" w14:textId="77777777" w:rsidR="00D448A7" w:rsidRDefault="00D448A7">
      <w:pPr>
        <w:jc w:val="both"/>
        <w:rPr>
          <w:rFonts w:ascii="Times New Roman" w:eastAsia="Times New Roman" w:hAnsi="Times New Roman" w:cs="Times New Roman"/>
          <w:sz w:val="24"/>
          <w:szCs w:val="24"/>
        </w:rPr>
      </w:pPr>
    </w:p>
    <w:p w14:paraId="00000018" w14:textId="7D7930B7" w:rsidR="00D448A7" w:rsidRDefault="0065286A">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D4EE860" wp14:editId="78B0883F">
            <wp:extent cx="5905500" cy="2595006"/>
            <wp:effectExtent l="0" t="0" r="0" b="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rotWithShape="1">
                    <a:blip r:embed="rId9" cstate="print">
                      <a:extLst>
                        <a:ext uri="{28A0092B-C50C-407E-A947-70E740481C1C}">
                          <a14:useLocalDpi xmlns:a14="http://schemas.microsoft.com/office/drawing/2010/main" val="0"/>
                        </a:ext>
                      </a:extLst>
                    </a:blip>
                    <a:srcRect r="18697"/>
                    <a:stretch/>
                  </pic:blipFill>
                  <pic:spPr bwMode="auto">
                    <a:xfrm>
                      <a:off x="0" y="0"/>
                      <a:ext cx="5916200" cy="2599708"/>
                    </a:xfrm>
                    <a:prstGeom prst="rect">
                      <a:avLst/>
                    </a:prstGeom>
                    <a:ln>
                      <a:noFill/>
                    </a:ln>
                    <a:extLst>
                      <a:ext uri="{53640926-AAD7-44D8-BBD7-CCE9431645EC}">
                        <a14:shadowObscured xmlns:a14="http://schemas.microsoft.com/office/drawing/2010/main"/>
                      </a:ext>
                    </a:extLst>
                  </pic:spPr>
                </pic:pic>
              </a:graphicData>
            </a:graphic>
          </wp:inline>
        </w:drawing>
      </w:r>
    </w:p>
    <w:p w14:paraId="00000019" w14:textId="77777777" w:rsidR="00D448A7" w:rsidRDefault="00D448A7">
      <w:pPr>
        <w:jc w:val="both"/>
        <w:rPr>
          <w:rFonts w:ascii="Times New Roman" w:eastAsia="Times New Roman" w:hAnsi="Times New Roman" w:cs="Times New Roman"/>
          <w:sz w:val="24"/>
          <w:szCs w:val="24"/>
        </w:rPr>
      </w:pPr>
    </w:p>
    <w:p w14:paraId="0000001A" w14:textId="77777777" w:rsidR="00D448A7" w:rsidRDefault="00E03D1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Supplementary Figure 4. </w:t>
      </w:r>
      <w:r>
        <w:rPr>
          <w:rFonts w:ascii="Times New Roman" w:eastAsia="Times New Roman" w:hAnsi="Times New Roman" w:cs="Times New Roman"/>
          <w:b/>
          <w:i/>
          <w:sz w:val="24"/>
          <w:szCs w:val="24"/>
        </w:rPr>
        <w:t>Mycobacteri</w:t>
      </w:r>
      <w:r>
        <w:rPr>
          <w:rFonts w:ascii="Times New Roman" w:eastAsia="Times New Roman" w:hAnsi="Times New Roman" w:cs="Times New Roman"/>
          <w:b/>
          <w:i/>
          <w:sz w:val="24"/>
          <w:szCs w:val="24"/>
        </w:rPr>
        <w:t>um</w:t>
      </w:r>
      <w:r>
        <w:rPr>
          <w:rFonts w:ascii="Times New Roman" w:eastAsia="Times New Roman" w:hAnsi="Times New Roman" w:cs="Times New Roman"/>
          <w:b/>
          <w:sz w:val="24"/>
          <w:szCs w:val="24"/>
        </w:rPr>
        <w:t xml:space="preserve"> and </w:t>
      </w:r>
      <w:proofErr w:type="spellStart"/>
      <w:r>
        <w:rPr>
          <w:rFonts w:ascii="Times New Roman" w:eastAsia="Times New Roman" w:hAnsi="Times New Roman" w:cs="Times New Roman"/>
          <w:b/>
          <w:i/>
          <w:sz w:val="24"/>
          <w:szCs w:val="24"/>
        </w:rPr>
        <w:t>Bradyrhizobium</w:t>
      </w:r>
      <w:proofErr w:type="spellEnd"/>
      <w:r>
        <w:rPr>
          <w:rFonts w:ascii="Times New Roman" w:eastAsia="Times New Roman" w:hAnsi="Times New Roman" w:cs="Times New Roman"/>
          <w:b/>
          <w:sz w:val="24"/>
          <w:szCs w:val="24"/>
        </w:rPr>
        <w:t xml:space="preserve"> were more abundant in sites with low mean annual precipitation and low soil moisture content. </w:t>
      </w:r>
      <w:r>
        <w:rPr>
          <w:rFonts w:ascii="Times New Roman" w:eastAsia="Times New Roman" w:hAnsi="Times New Roman" w:cs="Times New Roman"/>
          <w:sz w:val="24"/>
          <w:szCs w:val="24"/>
        </w:rPr>
        <w:t xml:space="preserve">(A) Relative abundance of </w:t>
      </w:r>
      <w:proofErr w:type="gramStart"/>
      <w:r>
        <w:rPr>
          <w:rFonts w:ascii="Times New Roman" w:eastAsia="Times New Roman" w:hAnsi="Times New Roman" w:cs="Times New Roman"/>
          <w:i/>
          <w:sz w:val="24"/>
          <w:szCs w:val="24"/>
        </w:rPr>
        <w:t xml:space="preserve">Mycobacterium </w:t>
      </w:r>
      <w:r>
        <w:rPr>
          <w:rFonts w:ascii="Times New Roman" w:eastAsia="Times New Roman" w:hAnsi="Times New Roman" w:cs="Times New Roman"/>
          <w:sz w:val="24"/>
          <w:szCs w:val="24"/>
        </w:rPr>
        <w:t xml:space="preserve"> for</w:t>
      </w:r>
      <w:proofErr w:type="gramEnd"/>
      <w:r>
        <w:rPr>
          <w:rFonts w:ascii="Times New Roman" w:eastAsia="Times New Roman" w:hAnsi="Times New Roman" w:cs="Times New Roman"/>
          <w:sz w:val="24"/>
          <w:szCs w:val="24"/>
        </w:rPr>
        <w:t xml:space="preserve"> low (146-193 mm) and high (300 mm) levels of mean annual precipitation (N</w:t>
      </w:r>
      <w:r>
        <w:rPr>
          <w:rFonts w:ascii="Times New Roman" w:eastAsia="Times New Roman" w:hAnsi="Times New Roman" w:cs="Times New Roman"/>
          <w:sz w:val="24"/>
          <w:szCs w:val="24"/>
          <w:vertAlign w:val="subscript"/>
        </w:rPr>
        <w:t xml:space="preserve">146-193 mm </w:t>
      </w:r>
      <w:r>
        <w:rPr>
          <w:rFonts w:ascii="Times New Roman" w:eastAsia="Times New Roman" w:hAnsi="Times New Roman" w:cs="Times New Roman"/>
          <w:sz w:val="24"/>
          <w:szCs w:val="24"/>
        </w:rPr>
        <w:t>= 52, N</w:t>
      </w:r>
      <w:r>
        <w:rPr>
          <w:rFonts w:ascii="Times New Roman" w:eastAsia="Times New Roman" w:hAnsi="Times New Roman" w:cs="Times New Roman"/>
          <w:sz w:val="24"/>
          <w:szCs w:val="24"/>
          <w:vertAlign w:val="subscript"/>
        </w:rPr>
        <w:t xml:space="preserve">300 </w:t>
      </w:r>
      <w:r>
        <w:rPr>
          <w:rFonts w:ascii="Times New Roman" w:eastAsia="Times New Roman" w:hAnsi="Times New Roman" w:cs="Times New Roman"/>
          <w:sz w:val="24"/>
          <w:szCs w:val="24"/>
          <w:vertAlign w:val="subscript"/>
        </w:rPr>
        <w:t>mm</w:t>
      </w:r>
      <w:r>
        <w:rPr>
          <w:rFonts w:ascii="Times New Roman" w:eastAsia="Times New Roman" w:hAnsi="Times New Roman" w:cs="Times New Roman"/>
          <w:sz w:val="24"/>
          <w:szCs w:val="24"/>
        </w:rPr>
        <w:t xml:space="preserve"> = 42). (B) </w:t>
      </w:r>
      <w:proofErr w:type="spellStart"/>
      <w:r>
        <w:rPr>
          <w:rFonts w:ascii="Times New Roman" w:eastAsia="Times New Roman" w:hAnsi="Times New Roman" w:cs="Times New Roman"/>
          <w:sz w:val="24"/>
          <w:szCs w:val="24"/>
        </w:rPr>
        <w:t>Barplot</w:t>
      </w:r>
      <w:proofErr w:type="spellEnd"/>
      <w:r>
        <w:rPr>
          <w:rFonts w:ascii="Times New Roman" w:eastAsia="Times New Roman" w:hAnsi="Times New Roman" w:cs="Times New Roman"/>
          <w:sz w:val="24"/>
          <w:szCs w:val="24"/>
        </w:rPr>
        <w:t xml:space="preserve"> of abundance log2 fold change for genera that show significant differential abundance between the low (40-50%) and high (70-100%) soil moisture content groups (</w:t>
      </w:r>
      <w:proofErr w:type="spellStart"/>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Low</w:t>
      </w:r>
      <w:proofErr w:type="spellEnd"/>
      <w:r>
        <w:rPr>
          <w:rFonts w:ascii="Times New Roman" w:eastAsia="Times New Roman" w:hAnsi="Times New Roman" w:cs="Times New Roman"/>
          <w:sz w:val="24"/>
          <w:szCs w:val="24"/>
        </w:rPr>
        <w:t xml:space="preserve"> = 13, </w:t>
      </w:r>
      <w:proofErr w:type="spellStart"/>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High</w:t>
      </w:r>
      <w:proofErr w:type="spellEnd"/>
      <w:r>
        <w:rPr>
          <w:rFonts w:ascii="Times New Roman" w:eastAsia="Times New Roman" w:hAnsi="Times New Roman" w:cs="Times New Roman"/>
          <w:sz w:val="24"/>
          <w:szCs w:val="24"/>
        </w:rPr>
        <w:t xml:space="preserve"> = 29). </w:t>
      </w:r>
    </w:p>
    <w:p w14:paraId="0000001B" w14:textId="77777777" w:rsidR="00D448A7" w:rsidRDefault="00D448A7">
      <w:pPr>
        <w:jc w:val="both"/>
        <w:rPr>
          <w:rFonts w:ascii="Times New Roman" w:eastAsia="Times New Roman" w:hAnsi="Times New Roman" w:cs="Times New Roman"/>
          <w:sz w:val="24"/>
          <w:szCs w:val="24"/>
        </w:rPr>
      </w:pPr>
    </w:p>
    <w:p w14:paraId="0000001C" w14:textId="77777777" w:rsidR="00D448A7" w:rsidRDefault="00D448A7">
      <w:pPr>
        <w:jc w:val="both"/>
        <w:rPr>
          <w:rFonts w:ascii="Times New Roman" w:eastAsia="Times New Roman" w:hAnsi="Times New Roman" w:cs="Times New Roman"/>
          <w:sz w:val="24"/>
          <w:szCs w:val="24"/>
        </w:rPr>
      </w:pPr>
    </w:p>
    <w:p w14:paraId="0000001D" w14:textId="77777777" w:rsidR="00D448A7" w:rsidRDefault="00E03D14">
      <w:pPr>
        <w:rPr>
          <w:rFonts w:ascii="Times New Roman" w:eastAsia="Times New Roman" w:hAnsi="Times New Roman" w:cs="Times New Roman"/>
          <w:b/>
        </w:rPr>
      </w:pPr>
      <w:r>
        <w:rPr>
          <w:rFonts w:ascii="Times New Roman" w:eastAsia="Times New Roman" w:hAnsi="Times New Roman" w:cs="Times New Roman"/>
          <w:b/>
        </w:rPr>
        <w:t xml:space="preserve">Supplementary Table 1. Unweighted </w:t>
      </w:r>
      <w:proofErr w:type="spellStart"/>
      <w:r>
        <w:rPr>
          <w:rFonts w:ascii="Times New Roman" w:eastAsia="Times New Roman" w:hAnsi="Times New Roman" w:cs="Times New Roman"/>
          <w:b/>
        </w:rPr>
        <w:t>UniFrac</w:t>
      </w:r>
      <w:proofErr w:type="spellEnd"/>
      <w:r>
        <w:rPr>
          <w:rFonts w:ascii="Times New Roman" w:eastAsia="Times New Roman" w:hAnsi="Times New Roman" w:cs="Times New Roman"/>
          <w:b/>
        </w:rPr>
        <w:t xml:space="preserve"> distance pairwise PERMANOVA results for mean annual precipitation.</w:t>
      </w:r>
    </w:p>
    <w:tbl>
      <w:tblPr>
        <w:tblStyle w:val="a"/>
        <w:tblW w:w="93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8"/>
        <w:gridCol w:w="997"/>
        <w:gridCol w:w="1464"/>
        <w:gridCol w:w="1620"/>
        <w:gridCol w:w="1320"/>
        <w:gridCol w:w="1464"/>
        <w:gridCol w:w="1464"/>
      </w:tblGrid>
      <w:tr w:rsidR="00D448A7" w14:paraId="05284F91" w14:textId="77777777">
        <w:tc>
          <w:tcPr>
            <w:tcW w:w="997" w:type="dxa"/>
            <w:shd w:val="clear" w:color="auto" w:fill="auto"/>
            <w:tcMar>
              <w:top w:w="100" w:type="dxa"/>
              <w:left w:w="100" w:type="dxa"/>
              <w:bottom w:w="100" w:type="dxa"/>
              <w:right w:w="100" w:type="dxa"/>
            </w:tcMar>
          </w:tcPr>
          <w:p w14:paraId="0000001E" w14:textId="77777777" w:rsidR="00D448A7" w:rsidRDefault="00E03D14">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Group 1</w:t>
            </w:r>
          </w:p>
        </w:tc>
        <w:tc>
          <w:tcPr>
            <w:tcW w:w="997" w:type="dxa"/>
            <w:shd w:val="clear" w:color="auto" w:fill="auto"/>
            <w:tcMar>
              <w:top w:w="100" w:type="dxa"/>
              <w:left w:w="100" w:type="dxa"/>
              <w:bottom w:w="100" w:type="dxa"/>
              <w:right w:w="100" w:type="dxa"/>
            </w:tcMar>
          </w:tcPr>
          <w:p w14:paraId="0000001F" w14:textId="77777777" w:rsidR="00D448A7" w:rsidRDefault="00E03D14">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Group 2</w:t>
            </w:r>
          </w:p>
        </w:tc>
        <w:tc>
          <w:tcPr>
            <w:tcW w:w="1464" w:type="dxa"/>
            <w:shd w:val="clear" w:color="auto" w:fill="auto"/>
            <w:tcMar>
              <w:top w:w="100" w:type="dxa"/>
              <w:left w:w="100" w:type="dxa"/>
              <w:bottom w:w="100" w:type="dxa"/>
              <w:right w:w="100" w:type="dxa"/>
            </w:tcMar>
          </w:tcPr>
          <w:p w14:paraId="00000020" w14:textId="77777777" w:rsidR="00D448A7" w:rsidRDefault="00E03D14">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Sample Size</w:t>
            </w:r>
          </w:p>
        </w:tc>
        <w:tc>
          <w:tcPr>
            <w:tcW w:w="1620" w:type="dxa"/>
            <w:shd w:val="clear" w:color="auto" w:fill="auto"/>
            <w:tcMar>
              <w:top w:w="100" w:type="dxa"/>
              <w:left w:w="100" w:type="dxa"/>
              <w:bottom w:w="100" w:type="dxa"/>
              <w:right w:w="100" w:type="dxa"/>
            </w:tcMar>
          </w:tcPr>
          <w:p w14:paraId="00000021" w14:textId="77777777" w:rsidR="00D448A7" w:rsidRDefault="00E03D14">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Permutations</w:t>
            </w:r>
          </w:p>
        </w:tc>
        <w:tc>
          <w:tcPr>
            <w:tcW w:w="1320" w:type="dxa"/>
            <w:shd w:val="clear" w:color="auto" w:fill="auto"/>
            <w:tcMar>
              <w:top w:w="100" w:type="dxa"/>
              <w:left w:w="100" w:type="dxa"/>
              <w:bottom w:w="100" w:type="dxa"/>
              <w:right w:w="100" w:type="dxa"/>
            </w:tcMar>
          </w:tcPr>
          <w:p w14:paraId="00000022" w14:textId="77777777" w:rsidR="00D448A7" w:rsidRDefault="00E03D14">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pseudo-F</w:t>
            </w:r>
          </w:p>
        </w:tc>
        <w:tc>
          <w:tcPr>
            <w:tcW w:w="1464" w:type="dxa"/>
            <w:shd w:val="clear" w:color="auto" w:fill="auto"/>
            <w:tcMar>
              <w:top w:w="100" w:type="dxa"/>
              <w:left w:w="100" w:type="dxa"/>
              <w:bottom w:w="100" w:type="dxa"/>
              <w:right w:w="100" w:type="dxa"/>
            </w:tcMar>
          </w:tcPr>
          <w:p w14:paraId="00000023" w14:textId="77777777" w:rsidR="00D448A7" w:rsidRDefault="00E03D14">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p-value</w:t>
            </w:r>
          </w:p>
        </w:tc>
        <w:tc>
          <w:tcPr>
            <w:tcW w:w="1464" w:type="dxa"/>
            <w:shd w:val="clear" w:color="auto" w:fill="auto"/>
            <w:tcMar>
              <w:top w:w="100" w:type="dxa"/>
              <w:left w:w="100" w:type="dxa"/>
              <w:bottom w:w="100" w:type="dxa"/>
              <w:right w:w="100" w:type="dxa"/>
            </w:tcMar>
          </w:tcPr>
          <w:p w14:paraId="00000024" w14:textId="77777777" w:rsidR="00D448A7" w:rsidRDefault="00E03D14">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q-value</w:t>
            </w:r>
          </w:p>
        </w:tc>
      </w:tr>
      <w:tr w:rsidR="00D448A7" w14:paraId="768114EF" w14:textId="77777777">
        <w:trPr>
          <w:trHeight w:val="420"/>
        </w:trPr>
        <w:tc>
          <w:tcPr>
            <w:tcW w:w="997" w:type="dxa"/>
            <w:shd w:val="clear" w:color="auto" w:fill="auto"/>
            <w:tcMar>
              <w:top w:w="100" w:type="dxa"/>
              <w:left w:w="100" w:type="dxa"/>
              <w:bottom w:w="100" w:type="dxa"/>
              <w:right w:w="100" w:type="dxa"/>
            </w:tcMar>
          </w:tcPr>
          <w:p w14:paraId="00000025"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146-193</w:t>
            </w:r>
          </w:p>
        </w:tc>
        <w:tc>
          <w:tcPr>
            <w:tcW w:w="997" w:type="dxa"/>
            <w:shd w:val="clear" w:color="auto" w:fill="auto"/>
            <w:tcMar>
              <w:top w:w="100" w:type="dxa"/>
              <w:left w:w="100" w:type="dxa"/>
              <w:bottom w:w="100" w:type="dxa"/>
              <w:right w:w="100" w:type="dxa"/>
            </w:tcMar>
          </w:tcPr>
          <w:p w14:paraId="00000026"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300</w:t>
            </w:r>
          </w:p>
        </w:tc>
        <w:tc>
          <w:tcPr>
            <w:tcW w:w="1464" w:type="dxa"/>
            <w:shd w:val="clear" w:color="auto" w:fill="auto"/>
            <w:tcMar>
              <w:top w:w="100" w:type="dxa"/>
              <w:left w:w="100" w:type="dxa"/>
              <w:bottom w:w="100" w:type="dxa"/>
              <w:right w:w="100" w:type="dxa"/>
            </w:tcMar>
          </w:tcPr>
          <w:p w14:paraId="00000027"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94</w:t>
            </w:r>
          </w:p>
        </w:tc>
        <w:tc>
          <w:tcPr>
            <w:tcW w:w="1620" w:type="dxa"/>
            <w:shd w:val="clear" w:color="auto" w:fill="auto"/>
            <w:tcMar>
              <w:top w:w="100" w:type="dxa"/>
              <w:left w:w="100" w:type="dxa"/>
              <w:bottom w:w="100" w:type="dxa"/>
              <w:right w:w="100" w:type="dxa"/>
            </w:tcMar>
          </w:tcPr>
          <w:p w14:paraId="00000028"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999</w:t>
            </w:r>
          </w:p>
        </w:tc>
        <w:tc>
          <w:tcPr>
            <w:tcW w:w="1320" w:type="dxa"/>
            <w:shd w:val="clear" w:color="auto" w:fill="auto"/>
            <w:tcMar>
              <w:top w:w="100" w:type="dxa"/>
              <w:left w:w="100" w:type="dxa"/>
              <w:bottom w:w="100" w:type="dxa"/>
              <w:right w:w="100" w:type="dxa"/>
            </w:tcMar>
          </w:tcPr>
          <w:p w14:paraId="00000029"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11.5</w:t>
            </w:r>
          </w:p>
        </w:tc>
        <w:tc>
          <w:tcPr>
            <w:tcW w:w="1464" w:type="dxa"/>
            <w:shd w:val="clear" w:color="auto" w:fill="auto"/>
            <w:tcMar>
              <w:top w:w="100" w:type="dxa"/>
              <w:left w:w="100" w:type="dxa"/>
              <w:bottom w:w="100" w:type="dxa"/>
              <w:right w:w="100" w:type="dxa"/>
            </w:tcMar>
          </w:tcPr>
          <w:p w14:paraId="0000002A"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0.001</w:t>
            </w:r>
          </w:p>
        </w:tc>
        <w:tc>
          <w:tcPr>
            <w:tcW w:w="1464" w:type="dxa"/>
            <w:shd w:val="clear" w:color="auto" w:fill="auto"/>
            <w:tcMar>
              <w:top w:w="100" w:type="dxa"/>
              <w:left w:w="100" w:type="dxa"/>
              <w:bottom w:w="100" w:type="dxa"/>
              <w:right w:w="100" w:type="dxa"/>
            </w:tcMar>
          </w:tcPr>
          <w:p w14:paraId="0000002B"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0.001</w:t>
            </w:r>
          </w:p>
        </w:tc>
      </w:tr>
    </w:tbl>
    <w:p w14:paraId="0000002C" w14:textId="77777777" w:rsidR="00D448A7" w:rsidRDefault="00D448A7">
      <w:pPr>
        <w:rPr>
          <w:rFonts w:ascii="Times New Roman" w:eastAsia="Times New Roman" w:hAnsi="Times New Roman" w:cs="Times New Roman"/>
        </w:rPr>
      </w:pPr>
    </w:p>
    <w:p w14:paraId="0000002D" w14:textId="77777777" w:rsidR="00D448A7" w:rsidRDefault="00D448A7">
      <w:pPr>
        <w:rPr>
          <w:rFonts w:ascii="Times New Roman" w:eastAsia="Times New Roman" w:hAnsi="Times New Roman" w:cs="Times New Roman"/>
        </w:rPr>
      </w:pPr>
    </w:p>
    <w:p w14:paraId="0000002E" w14:textId="77777777" w:rsidR="00D448A7" w:rsidRDefault="00D448A7">
      <w:pPr>
        <w:rPr>
          <w:rFonts w:ascii="Times New Roman" w:eastAsia="Times New Roman" w:hAnsi="Times New Roman" w:cs="Times New Roman"/>
        </w:rPr>
      </w:pPr>
    </w:p>
    <w:p w14:paraId="0000002F" w14:textId="77777777" w:rsidR="00D448A7" w:rsidRDefault="00E03D14">
      <w:pPr>
        <w:rPr>
          <w:rFonts w:ascii="Times New Roman" w:eastAsia="Times New Roman" w:hAnsi="Times New Roman" w:cs="Times New Roman"/>
          <w:b/>
        </w:rPr>
      </w:pPr>
      <w:r>
        <w:rPr>
          <w:rFonts w:ascii="Times New Roman" w:eastAsia="Times New Roman" w:hAnsi="Times New Roman" w:cs="Times New Roman"/>
          <w:b/>
        </w:rPr>
        <w:t xml:space="preserve">Supplementary Table 2. Weighted </w:t>
      </w:r>
      <w:proofErr w:type="spellStart"/>
      <w:r>
        <w:rPr>
          <w:rFonts w:ascii="Times New Roman" w:eastAsia="Times New Roman" w:hAnsi="Times New Roman" w:cs="Times New Roman"/>
          <w:b/>
        </w:rPr>
        <w:t>UniFrac</w:t>
      </w:r>
      <w:proofErr w:type="spellEnd"/>
      <w:r>
        <w:rPr>
          <w:rFonts w:ascii="Times New Roman" w:eastAsia="Times New Roman" w:hAnsi="Times New Roman" w:cs="Times New Roman"/>
          <w:b/>
        </w:rPr>
        <w:t xml:space="preserve"> distance pairwise PERMANOVA results for mean annual precipitation.</w:t>
      </w:r>
    </w:p>
    <w:tbl>
      <w:tblPr>
        <w:tblStyle w:val="a0"/>
        <w:tblW w:w="93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8"/>
        <w:gridCol w:w="997"/>
        <w:gridCol w:w="1464"/>
        <w:gridCol w:w="1635"/>
        <w:gridCol w:w="1305"/>
        <w:gridCol w:w="1464"/>
        <w:gridCol w:w="1464"/>
      </w:tblGrid>
      <w:tr w:rsidR="00D448A7" w14:paraId="510D1BEB" w14:textId="77777777">
        <w:tc>
          <w:tcPr>
            <w:tcW w:w="997" w:type="dxa"/>
            <w:shd w:val="clear" w:color="auto" w:fill="auto"/>
            <w:tcMar>
              <w:top w:w="100" w:type="dxa"/>
              <w:left w:w="100" w:type="dxa"/>
              <w:bottom w:w="100" w:type="dxa"/>
              <w:right w:w="100" w:type="dxa"/>
            </w:tcMar>
          </w:tcPr>
          <w:p w14:paraId="00000030" w14:textId="77777777" w:rsidR="00D448A7" w:rsidRDefault="00E03D14">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Group 1</w:t>
            </w:r>
          </w:p>
        </w:tc>
        <w:tc>
          <w:tcPr>
            <w:tcW w:w="997" w:type="dxa"/>
            <w:shd w:val="clear" w:color="auto" w:fill="auto"/>
            <w:tcMar>
              <w:top w:w="100" w:type="dxa"/>
              <w:left w:w="100" w:type="dxa"/>
              <w:bottom w:w="100" w:type="dxa"/>
              <w:right w:w="100" w:type="dxa"/>
            </w:tcMar>
          </w:tcPr>
          <w:p w14:paraId="00000031" w14:textId="77777777" w:rsidR="00D448A7" w:rsidRDefault="00E03D14">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Group 2</w:t>
            </w:r>
          </w:p>
        </w:tc>
        <w:tc>
          <w:tcPr>
            <w:tcW w:w="1464" w:type="dxa"/>
            <w:shd w:val="clear" w:color="auto" w:fill="auto"/>
            <w:tcMar>
              <w:top w:w="100" w:type="dxa"/>
              <w:left w:w="100" w:type="dxa"/>
              <w:bottom w:w="100" w:type="dxa"/>
              <w:right w:w="100" w:type="dxa"/>
            </w:tcMar>
          </w:tcPr>
          <w:p w14:paraId="00000032" w14:textId="77777777" w:rsidR="00D448A7" w:rsidRDefault="00E03D14">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Sample Size</w:t>
            </w:r>
          </w:p>
        </w:tc>
        <w:tc>
          <w:tcPr>
            <w:tcW w:w="1635" w:type="dxa"/>
            <w:shd w:val="clear" w:color="auto" w:fill="auto"/>
            <w:tcMar>
              <w:top w:w="100" w:type="dxa"/>
              <w:left w:w="100" w:type="dxa"/>
              <w:bottom w:w="100" w:type="dxa"/>
              <w:right w:w="100" w:type="dxa"/>
            </w:tcMar>
          </w:tcPr>
          <w:p w14:paraId="00000033" w14:textId="77777777" w:rsidR="00D448A7" w:rsidRDefault="00E03D14">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Permutations</w:t>
            </w:r>
          </w:p>
        </w:tc>
        <w:tc>
          <w:tcPr>
            <w:tcW w:w="1305" w:type="dxa"/>
            <w:shd w:val="clear" w:color="auto" w:fill="auto"/>
            <w:tcMar>
              <w:top w:w="100" w:type="dxa"/>
              <w:left w:w="100" w:type="dxa"/>
              <w:bottom w:w="100" w:type="dxa"/>
              <w:right w:w="100" w:type="dxa"/>
            </w:tcMar>
          </w:tcPr>
          <w:p w14:paraId="00000034" w14:textId="77777777" w:rsidR="00D448A7" w:rsidRDefault="00E03D14">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pseudo-F</w:t>
            </w:r>
          </w:p>
        </w:tc>
        <w:tc>
          <w:tcPr>
            <w:tcW w:w="1464" w:type="dxa"/>
            <w:shd w:val="clear" w:color="auto" w:fill="auto"/>
            <w:tcMar>
              <w:top w:w="100" w:type="dxa"/>
              <w:left w:w="100" w:type="dxa"/>
              <w:bottom w:w="100" w:type="dxa"/>
              <w:right w:w="100" w:type="dxa"/>
            </w:tcMar>
          </w:tcPr>
          <w:p w14:paraId="00000035" w14:textId="77777777" w:rsidR="00D448A7" w:rsidRDefault="00E03D14">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p-value</w:t>
            </w:r>
          </w:p>
        </w:tc>
        <w:tc>
          <w:tcPr>
            <w:tcW w:w="1464" w:type="dxa"/>
            <w:shd w:val="clear" w:color="auto" w:fill="auto"/>
            <w:tcMar>
              <w:top w:w="100" w:type="dxa"/>
              <w:left w:w="100" w:type="dxa"/>
              <w:bottom w:w="100" w:type="dxa"/>
              <w:right w:w="100" w:type="dxa"/>
            </w:tcMar>
          </w:tcPr>
          <w:p w14:paraId="00000036" w14:textId="77777777" w:rsidR="00D448A7" w:rsidRDefault="00E03D14">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q-value</w:t>
            </w:r>
          </w:p>
        </w:tc>
      </w:tr>
      <w:tr w:rsidR="00D448A7" w14:paraId="7EF4F363" w14:textId="77777777">
        <w:trPr>
          <w:trHeight w:val="420"/>
        </w:trPr>
        <w:tc>
          <w:tcPr>
            <w:tcW w:w="997" w:type="dxa"/>
            <w:shd w:val="clear" w:color="auto" w:fill="auto"/>
            <w:tcMar>
              <w:top w:w="100" w:type="dxa"/>
              <w:left w:w="100" w:type="dxa"/>
              <w:bottom w:w="100" w:type="dxa"/>
              <w:right w:w="100" w:type="dxa"/>
            </w:tcMar>
          </w:tcPr>
          <w:p w14:paraId="00000037"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146-193</w:t>
            </w:r>
          </w:p>
        </w:tc>
        <w:tc>
          <w:tcPr>
            <w:tcW w:w="997" w:type="dxa"/>
            <w:shd w:val="clear" w:color="auto" w:fill="auto"/>
            <w:tcMar>
              <w:top w:w="100" w:type="dxa"/>
              <w:left w:w="100" w:type="dxa"/>
              <w:bottom w:w="100" w:type="dxa"/>
              <w:right w:w="100" w:type="dxa"/>
            </w:tcMar>
          </w:tcPr>
          <w:p w14:paraId="00000038"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300</w:t>
            </w:r>
          </w:p>
        </w:tc>
        <w:tc>
          <w:tcPr>
            <w:tcW w:w="1464" w:type="dxa"/>
            <w:shd w:val="clear" w:color="auto" w:fill="auto"/>
            <w:tcMar>
              <w:top w:w="100" w:type="dxa"/>
              <w:left w:w="100" w:type="dxa"/>
              <w:bottom w:w="100" w:type="dxa"/>
              <w:right w:w="100" w:type="dxa"/>
            </w:tcMar>
          </w:tcPr>
          <w:p w14:paraId="00000039"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94</w:t>
            </w:r>
          </w:p>
        </w:tc>
        <w:tc>
          <w:tcPr>
            <w:tcW w:w="1635" w:type="dxa"/>
            <w:shd w:val="clear" w:color="auto" w:fill="auto"/>
            <w:tcMar>
              <w:top w:w="100" w:type="dxa"/>
              <w:left w:w="100" w:type="dxa"/>
              <w:bottom w:w="100" w:type="dxa"/>
              <w:right w:w="100" w:type="dxa"/>
            </w:tcMar>
          </w:tcPr>
          <w:p w14:paraId="0000003A"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999</w:t>
            </w:r>
          </w:p>
        </w:tc>
        <w:tc>
          <w:tcPr>
            <w:tcW w:w="1305" w:type="dxa"/>
            <w:shd w:val="clear" w:color="auto" w:fill="auto"/>
            <w:tcMar>
              <w:top w:w="100" w:type="dxa"/>
              <w:left w:w="100" w:type="dxa"/>
              <w:bottom w:w="100" w:type="dxa"/>
              <w:right w:w="100" w:type="dxa"/>
            </w:tcMar>
          </w:tcPr>
          <w:p w14:paraId="0000003B"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36.9</w:t>
            </w:r>
          </w:p>
        </w:tc>
        <w:tc>
          <w:tcPr>
            <w:tcW w:w="1464" w:type="dxa"/>
            <w:shd w:val="clear" w:color="auto" w:fill="auto"/>
            <w:tcMar>
              <w:top w:w="100" w:type="dxa"/>
              <w:left w:w="100" w:type="dxa"/>
              <w:bottom w:w="100" w:type="dxa"/>
              <w:right w:w="100" w:type="dxa"/>
            </w:tcMar>
          </w:tcPr>
          <w:p w14:paraId="0000003C"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0.001</w:t>
            </w:r>
          </w:p>
        </w:tc>
        <w:tc>
          <w:tcPr>
            <w:tcW w:w="1464" w:type="dxa"/>
            <w:shd w:val="clear" w:color="auto" w:fill="auto"/>
            <w:tcMar>
              <w:top w:w="100" w:type="dxa"/>
              <w:left w:w="100" w:type="dxa"/>
              <w:bottom w:w="100" w:type="dxa"/>
              <w:right w:w="100" w:type="dxa"/>
            </w:tcMar>
          </w:tcPr>
          <w:p w14:paraId="0000003D"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0.001</w:t>
            </w:r>
          </w:p>
        </w:tc>
      </w:tr>
    </w:tbl>
    <w:p w14:paraId="0000003E" w14:textId="77777777" w:rsidR="00D448A7" w:rsidRDefault="00D448A7">
      <w:pPr>
        <w:rPr>
          <w:rFonts w:ascii="Times New Roman" w:eastAsia="Times New Roman" w:hAnsi="Times New Roman" w:cs="Times New Roman"/>
        </w:rPr>
      </w:pPr>
    </w:p>
    <w:p w14:paraId="00000041" w14:textId="77777777" w:rsidR="00D448A7" w:rsidRDefault="00D448A7">
      <w:pPr>
        <w:rPr>
          <w:rFonts w:ascii="Times New Roman" w:eastAsia="Times New Roman" w:hAnsi="Times New Roman" w:cs="Times New Roman"/>
        </w:rPr>
      </w:pPr>
    </w:p>
    <w:p w14:paraId="00000042" w14:textId="77777777" w:rsidR="00D448A7" w:rsidRDefault="00D448A7">
      <w:pPr>
        <w:rPr>
          <w:rFonts w:ascii="Times New Roman" w:eastAsia="Times New Roman" w:hAnsi="Times New Roman" w:cs="Times New Roman"/>
        </w:rPr>
      </w:pPr>
    </w:p>
    <w:p w14:paraId="00000043" w14:textId="77777777" w:rsidR="00D448A7" w:rsidRDefault="00E03D14">
      <w:pPr>
        <w:rPr>
          <w:rFonts w:ascii="Times New Roman" w:eastAsia="Times New Roman" w:hAnsi="Times New Roman" w:cs="Times New Roman"/>
          <w:b/>
        </w:rPr>
      </w:pPr>
      <w:r>
        <w:rPr>
          <w:rFonts w:ascii="Times New Roman" w:eastAsia="Times New Roman" w:hAnsi="Times New Roman" w:cs="Times New Roman"/>
          <w:b/>
        </w:rPr>
        <w:t xml:space="preserve">Supplementary Table 3. Weighted </w:t>
      </w:r>
      <w:proofErr w:type="spellStart"/>
      <w:r>
        <w:rPr>
          <w:rFonts w:ascii="Times New Roman" w:eastAsia="Times New Roman" w:hAnsi="Times New Roman" w:cs="Times New Roman"/>
          <w:b/>
        </w:rPr>
        <w:t>UniFrac</w:t>
      </w:r>
      <w:proofErr w:type="spellEnd"/>
      <w:r>
        <w:rPr>
          <w:rFonts w:ascii="Times New Roman" w:eastAsia="Times New Roman" w:hAnsi="Times New Roman" w:cs="Times New Roman"/>
          <w:b/>
        </w:rPr>
        <w:t xml:space="preserve"> distance pairwise PERMANOVA results for soil moisture content.</w:t>
      </w:r>
    </w:p>
    <w:tbl>
      <w:tblPr>
        <w:tblStyle w:val="a1"/>
        <w:tblW w:w="9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
        <w:gridCol w:w="1095"/>
        <w:gridCol w:w="1380"/>
        <w:gridCol w:w="1650"/>
        <w:gridCol w:w="1290"/>
        <w:gridCol w:w="1464"/>
        <w:gridCol w:w="1464"/>
      </w:tblGrid>
      <w:tr w:rsidR="00D448A7" w14:paraId="162A282F" w14:textId="77777777">
        <w:tc>
          <w:tcPr>
            <w:tcW w:w="99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44" w14:textId="77777777" w:rsidR="00D448A7" w:rsidRDefault="00E03D14">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Group 1</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45" w14:textId="77777777" w:rsidR="00D448A7" w:rsidRDefault="00E03D14">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Group 2</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46" w14:textId="77777777" w:rsidR="00D448A7" w:rsidRDefault="00E03D14">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Sample Size</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47" w14:textId="77777777" w:rsidR="00D448A7" w:rsidRDefault="00E03D14">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Permutations</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48" w14:textId="77777777" w:rsidR="00D448A7" w:rsidRDefault="00E03D14">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pseudo-F</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49" w14:textId="77777777" w:rsidR="00D448A7" w:rsidRDefault="00E03D14">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p-value</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4A" w14:textId="77777777" w:rsidR="00D448A7" w:rsidRDefault="00E03D14">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q-value</w:t>
            </w:r>
          </w:p>
        </w:tc>
      </w:tr>
      <w:tr w:rsidR="00D448A7" w14:paraId="6A54596E" w14:textId="77777777">
        <w:trPr>
          <w:trHeight w:val="420"/>
        </w:trPr>
        <w:tc>
          <w:tcPr>
            <w:tcW w:w="997"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4B"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40-50%</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4C"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50-60%</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4D"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38</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4E"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999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4F"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color w:val="333333"/>
              </w:rPr>
              <w:t>3.95</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50"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color w:val="333333"/>
              </w:rPr>
              <w:t>0.009</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51"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color w:val="333333"/>
              </w:rPr>
              <w:t>0.033</w:t>
            </w:r>
          </w:p>
        </w:tc>
      </w:tr>
      <w:tr w:rsidR="00D448A7" w14:paraId="40F7C04E" w14:textId="77777777">
        <w:trPr>
          <w:trHeight w:val="420"/>
        </w:trPr>
        <w:tc>
          <w:tcPr>
            <w:tcW w:w="997"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52" w14:textId="77777777" w:rsidR="00D448A7" w:rsidRDefault="00D448A7">
            <w:pPr>
              <w:widowControl w:val="0"/>
              <w:spacing w:line="240" w:lineRule="auto"/>
              <w:jc w:val="center"/>
              <w:rPr>
                <w:rFonts w:ascii="Times New Roman" w:eastAsia="Times New Roman" w:hAnsi="Times New Roman" w:cs="Times New Roman"/>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53"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60-70%</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54"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41</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55"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999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56"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color w:val="333333"/>
              </w:rPr>
              <w:t>4.96</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57"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color w:val="333333"/>
              </w:rPr>
              <w:t>0.004</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58"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color w:val="333333"/>
              </w:rPr>
              <w:t>0.030</w:t>
            </w:r>
          </w:p>
        </w:tc>
      </w:tr>
      <w:tr w:rsidR="00D448A7" w14:paraId="7B994706" w14:textId="77777777">
        <w:trPr>
          <w:trHeight w:val="420"/>
        </w:trPr>
        <w:tc>
          <w:tcPr>
            <w:tcW w:w="997"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59" w14:textId="77777777" w:rsidR="00D448A7" w:rsidRDefault="00D448A7">
            <w:pPr>
              <w:widowControl w:val="0"/>
              <w:spacing w:line="240" w:lineRule="auto"/>
              <w:jc w:val="center"/>
              <w:rPr>
                <w:rFonts w:ascii="Times New Roman" w:eastAsia="Times New Roman" w:hAnsi="Times New Roman" w:cs="Times New Roman"/>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5A"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70-80%</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5B"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5C"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999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5D"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color w:val="333333"/>
              </w:rPr>
              <w:t>3.66</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5E"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color w:val="333333"/>
              </w:rPr>
              <w:t>0.011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5F"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color w:val="333333"/>
              </w:rPr>
              <w:t>0.033</w:t>
            </w:r>
          </w:p>
        </w:tc>
      </w:tr>
      <w:tr w:rsidR="00D448A7" w14:paraId="4246B774" w14:textId="77777777">
        <w:trPr>
          <w:trHeight w:val="420"/>
        </w:trPr>
        <w:tc>
          <w:tcPr>
            <w:tcW w:w="997"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60" w14:textId="77777777" w:rsidR="00D448A7" w:rsidRDefault="00D448A7">
            <w:pPr>
              <w:widowControl w:val="0"/>
              <w:spacing w:line="240" w:lineRule="auto"/>
              <w:jc w:val="center"/>
              <w:rPr>
                <w:rFonts w:ascii="Times New Roman" w:eastAsia="Times New Roman" w:hAnsi="Times New Roman" w:cs="Times New Roman"/>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61" w14:textId="77777777" w:rsidR="00D448A7" w:rsidRDefault="00E03D14">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80-90%</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62"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29</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63"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999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64"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color w:val="333333"/>
              </w:rPr>
              <w:t>13.4</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65"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color w:val="333333"/>
              </w:rPr>
              <w:t>0.001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66"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color w:val="333333"/>
              </w:rPr>
              <w:t>0.015</w:t>
            </w:r>
          </w:p>
        </w:tc>
      </w:tr>
      <w:tr w:rsidR="00D448A7" w14:paraId="2DF8A3CD" w14:textId="77777777">
        <w:trPr>
          <w:trHeight w:val="420"/>
        </w:trPr>
        <w:tc>
          <w:tcPr>
            <w:tcW w:w="997"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67" w14:textId="77777777" w:rsidR="00D448A7" w:rsidRDefault="00D448A7">
            <w:pPr>
              <w:widowControl w:val="0"/>
              <w:spacing w:line="240" w:lineRule="auto"/>
              <w:jc w:val="center"/>
              <w:rPr>
                <w:rFonts w:ascii="Times New Roman" w:eastAsia="Times New Roman" w:hAnsi="Times New Roman" w:cs="Times New Roman"/>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68"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90-100%</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69"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6A"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999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6B"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color w:val="333333"/>
              </w:rPr>
              <w:t>12.2</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6C"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color w:val="333333"/>
              </w:rPr>
              <w:t>0.013</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6D"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color w:val="333333"/>
              </w:rPr>
              <w:t>0.033</w:t>
            </w:r>
          </w:p>
        </w:tc>
      </w:tr>
      <w:tr w:rsidR="00D448A7" w14:paraId="36B0ADF7" w14:textId="77777777">
        <w:trPr>
          <w:trHeight w:val="420"/>
        </w:trPr>
        <w:tc>
          <w:tcPr>
            <w:tcW w:w="997"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6E"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50-60%</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6F"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60-70%</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70"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color w:val="333333"/>
                <w:shd w:val="clear" w:color="auto" w:fill="F5F5F5"/>
              </w:rPr>
              <w:t>55</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71"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color w:val="333333"/>
                <w:shd w:val="clear" w:color="auto" w:fill="F5F5F5"/>
              </w:rPr>
              <w:t>999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72" w14:textId="77777777" w:rsidR="00D448A7" w:rsidRDefault="00E03D14">
            <w:pPr>
              <w:widowControl w:val="0"/>
              <w:spacing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0.58</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73" w14:textId="77777777" w:rsidR="00D448A7" w:rsidRDefault="00E03D14">
            <w:pPr>
              <w:widowControl w:val="0"/>
              <w:spacing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0.76</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74" w14:textId="77777777" w:rsidR="00D448A7" w:rsidRDefault="00E03D14">
            <w:pPr>
              <w:widowControl w:val="0"/>
              <w:spacing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0.76</w:t>
            </w:r>
          </w:p>
        </w:tc>
      </w:tr>
      <w:tr w:rsidR="00D448A7" w14:paraId="330EA2F0" w14:textId="77777777">
        <w:trPr>
          <w:trHeight w:val="420"/>
        </w:trPr>
        <w:tc>
          <w:tcPr>
            <w:tcW w:w="997"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75" w14:textId="77777777" w:rsidR="00D448A7" w:rsidRDefault="00D448A7">
            <w:pPr>
              <w:widowControl w:val="0"/>
              <w:spacing w:line="240" w:lineRule="auto"/>
              <w:jc w:val="center"/>
              <w:rPr>
                <w:rFonts w:ascii="Times New Roman" w:eastAsia="Times New Roman" w:hAnsi="Times New Roman" w:cs="Times New Roman"/>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76"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70-80%</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77"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34</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78"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999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79" w14:textId="77777777" w:rsidR="00D448A7" w:rsidRDefault="00E03D14">
            <w:pPr>
              <w:widowControl w:val="0"/>
              <w:spacing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1.23</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7A" w14:textId="77777777" w:rsidR="00D448A7" w:rsidRDefault="00E03D14">
            <w:pPr>
              <w:widowControl w:val="0"/>
              <w:spacing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0.26</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7B" w14:textId="77777777" w:rsidR="00D448A7" w:rsidRDefault="00E03D14">
            <w:pPr>
              <w:widowControl w:val="0"/>
              <w:spacing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0.32</w:t>
            </w:r>
          </w:p>
        </w:tc>
      </w:tr>
      <w:tr w:rsidR="00D448A7" w14:paraId="538DB298" w14:textId="77777777">
        <w:trPr>
          <w:trHeight w:val="420"/>
        </w:trPr>
        <w:tc>
          <w:tcPr>
            <w:tcW w:w="997"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7C" w14:textId="77777777" w:rsidR="00D448A7" w:rsidRDefault="00D448A7">
            <w:pPr>
              <w:widowControl w:val="0"/>
              <w:spacing w:line="240" w:lineRule="auto"/>
              <w:jc w:val="center"/>
              <w:rPr>
                <w:rFonts w:ascii="Times New Roman" w:eastAsia="Times New Roman" w:hAnsi="Times New Roman" w:cs="Times New Roman"/>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7D"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80-90%</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7E"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43</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7F"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999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80" w14:textId="77777777" w:rsidR="00D448A7" w:rsidRDefault="00E03D14">
            <w:pPr>
              <w:widowControl w:val="0"/>
              <w:spacing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3.29</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81" w14:textId="77777777" w:rsidR="00D448A7" w:rsidRDefault="00E03D14">
            <w:pPr>
              <w:widowControl w:val="0"/>
              <w:spacing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0.018</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82" w14:textId="77777777" w:rsidR="00D448A7" w:rsidRDefault="00E03D14">
            <w:pPr>
              <w:widowControl w:val="0"/>
              <w:spacing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0.039</w:t>
            </w:r>
          </w:p>
        </w:tc>
      </w:tr>
      <w:tr w:rsidR="00D448A7" w14:paraId="7E095026" w14:textId="77777777">
        <w:trPr>
          <w:trHeight w:val="420"/>
        </w:trPr>
        <w:tc>
          <w:tcPr>
            <w:tcW w:w="997"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83" w14:textId="77777777" w:rsidR="00D448A7" w:rsidRDefault="00D448A7">
            <w:pPr>
              <w:widowControl w:val="0"/>
              <w:spacing w:line="240" w:lineRule="auto"/>
              <w:jc w:val="center"/>
              <w:rPr>
                <w:rFonts w:ascii="Times New Roman" w:eastAsia="Times New Roman" w:hAnsi="Times New Roman" w:cs="Times New Roman"/>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84"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90-100%</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85"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28</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86"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999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87" w14:textId="77777777" w:rsidR="00D448A7" w:rsidRDefault="00E03D14">
            <w:pPr>
              <w:widowControl w:val="0"/>
              <w:spacing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2.33</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88" w14:textId="77777777" w:rsidR="00D448A7" w:rsidRDefault="00E03D14">
            <w:pPr>
              <w:widowControl w:val="0"/>
              <w:spacing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0.044</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89" w14:textId="77777777" w:rsidR="00D448A7" w:rsidRDefault="00E03D14">
            <w:pPr>
              <w:widowControl w:val="0"/>
              <w:spacing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0.073</w:t>
            </w:r>
          </w:p>
        </w:tc>
      </w:tr>
      <w:tr w:rsidR="00D448A7" w14:paraId="4654C754" w14:textId="77777777">
        <w:trPr>
          <w:trHeight w:val="420"/>
        </w:trPr>
        <w:tc>
          <w:tcPr>
            <w:tcW w:w="997"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8A"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60-70%</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8B"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70-80%</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8C"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37</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8D"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999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8E" w14:textId="77777777" w:rsidR="00D448A7" w:rsidRDefault="00E03D14">
            <w:pPr>
              <w:widowControl w:val="0"/>
              <w:spacing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1.37</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8F" w14:textId="77777777" w:rsidR="00D448A7" w:rsidRDefault="00E03D14">
            <w:pPr>
              <w:widowControl w:val="0"/>
              <w:spacing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0.20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90" w14:textId="77777777" w:rsidR="00D448A7" w:rsidRDefault="00E03D14">
            <w:pPr>
              <w:widowControl w:val="0"/>
              <w:spacing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0.27</w:t>
            </w:r>
          </w:p>
        </w:tc>
      </w:tr>
      <w:tr w:rsidR="00D448A7" w14:paraId="3D6FAF5E" w14:textId="77777777">
        <w:trPr>
          <w:trHeight w:val="420"/>
        </w:trPr>
        <w:tc>
          <w:tcPr>
            <w:tcW w:w="997"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91" w14:textId="77777777" w:rsidR="00D448A7" w:rsidRDefault="00D448A7">
            <w:pPr>
              <w:widowControl w:val="0"/>
              <w:spacing w:line="240" w:lineRule="auto"/>
              <w:jc w:val="center"/>
              <w:rPr>
                <w:rFonts w:ascii="Times New Roman" w:eastAsia="Times New Roman" w:hAnsi="Times New Roman" w:cs="Times New Roman"/>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92"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80-90%</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93"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46</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94"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999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95" w14:textId="77777777" w:rsidR="00D448A7" w:rsidRDefault="00E03D14">
            <w:pPr>
              <w:widowControl w:val="0"/>
              <w:spacing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3.44</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96" w14:textId="77777777" w:rsidR="00D448A7" w:rsidRDefault="00E03D14">
            <w:pPr>
              <w:widowControl w:val="0"/>
              <w:spacing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0.008</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97" w14:textId="77777777" w:rsidR="00D448A7" w:rsidRDefault="00E03D14">
            <w:pPr>
              <w:widowControl w:val="0"/>
              <w:spacing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0.033</w:t>
            </w:r>
          </w:p>
        </w:tc>
      </w:tr>
      <w:tr w:rsidR="00D448A7" w14:paraId="00A7786D" w14:textId="77777777">
        <w:trPr>
          <w:trHeight w:val="420"/>
        </w:trPr>
        <w:tc>
          <w:tcPr>
            <w:tcW w:w="997"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98" w14:textId="77777777" w:rsidR="00D448A7" w:rsidRDefault="00D448A7">
            <w:pPr>
              <w:widowControl w:val="0"/>
              <w:spacing w:line="240" w:lineRule="auto"/>
              <w:jc w:val="center"/>
              <w:rPr>
                <w:rFonts w:ascii="Times New Roman" w:eastAsia="Times New Roman" w:hAnsi="Times New Roman" w:cs="Times New Roman"/>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99"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90-100%</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9A"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31</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9B"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999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9C" w14:textId="77777777" w:rsidR="00D448A7" w:rsidRDefault="00E03D14">
            <w:pPr>
              <w:widowControl w:val="0"/>
              <w:spacing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2.47</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9D" w14:textId="77777777" w:rsidR="00D448A7" w:rsidRDefault="00E03D14">
            <w:pPr>
              <w:widowControl w:val="0"/>
              <w:spacing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0.042</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9E" w14:textId="77777777" w:rsidR="00D448A7" w:rsidRDefault="00E03D14">
            <w:pPr>
              <w:widowControl w:val="0"/>
              <w:spacing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0.073</w:t>
            </w:r>
          </w:p>
        </w:tc>
      </w:tr>
      <w:tr w:rsidR="00D448A7" w14:paraId="33C3A7D1" w14:textId="77777777">
        <w:trPr>
          <w:trHeight w:val="420"/>
        </w:trPr>
        <w:tc>
          <w:tcPr>
            <w:tcW w:w="997"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9F"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70-80%</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A0"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80-90%</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A1"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25</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A2"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999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A3" w14:textId="77777777" w:rsidR="00D448A7" w:rsidRDefault="00E03D14">
            <w:pPr>
              <w:widowControl w:val="0"/>
              <w:spacing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2.11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A4" w14:textId="77777777" w:rsidR="00D448A7" w:rsidRDefault="00E03D14">
            <w:pPr>
              <w:widowControl w:val="0"/>
              <w:spacing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0.081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A5" w14:textId="77777777" w:rsidR="00D448A7" w:rsidRDefault="00E03D14">
            <w:pPr>
              <w:widowControl w:val="0"/>
              <w:spacing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0.12</w:t>
            </w:r>
          </w:p>
        </w:tc>
      </w:tr>
      <w:tr w:rsidR="00D448A7" w14:paraId="7409DBEF" w14:textId="77777777">
        <w:trPr>
          <w:trHeight w:val="420"/>
        </w:trPr>
        <w:tc>
          <w:tcPr>
            <w:tcW w:w="997"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A6" w14:textId="77777777" w:rsidR="00D448A7" w:rsidRDefault="00D448A7">
            <w:pPr>
              <w:widowControl w:val="0"/>
              <w:spacing w:line="240" w:lineRule="auto"/>
              <w:jc w:val="center"/>
              <w:rPr>
                <w:rFonts w:ascii="Times New Roman" w:eastAsia="Times New Roman" w:hAnsi="Times New Roman" w:cs="Times New Roman"/>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A7"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90-100%</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A8"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A9"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999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AA" w14:textId="77777777" w:rsidR="00D448A7" w:rsidRDefault="00E03D14">
            <w:pPr>
              <w:widowControl w:val="0"/>
              <w:spacing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1.52</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AB" w14:textId="77777777" w:rsidR="00D448A7" w:rsidRDefault="00E03D14">
            <w:pPr>
              <w:widowControl w:val="0"/>
              <w:spacing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0.34</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AC" w14:textId="77777777" w:rsidR="00D448A7" w:rsidRDefault="00E03D14">
            <w:pPr>
              <w:widowControl w:val="0"/>
              <w:spacing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0.36</w:t>
            </w:r>
          </w:p>
        </w:tc>
      </w:tr>
      <w:tr w:rsidR="00D448A7" w14:paraId="39475174" w14:textId="77777777">
        <w:trPr>
          <w:trHeight w:val="420"/>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AD"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80-90%</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AE"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90-100%</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AF"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19</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B0" w14:textId="77777777" w:rsidR="00D448A7" w:rsidRDefault="00E03D14">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999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B1" w14:textId="77777777" w:rsidR="00D448A7" w:rsidRDefault="00E03D14">
            <w:pPr>
              <w:widowControl w:val="0"/>
              <w:spacing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1.5</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B2" w14:textId="77777777" w:rsidR="00D448A7" w:rsidRDefault="00E03D14">
            <w:pPr>
              <w:widowControl w:val="0"/>
              <w:spacing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0.28</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B3" w14:textId="77777777" w:rsidR="00D448A7" w:rsidRDefault="00E03D14">
            <w:pPr>
              <w:widowControl w:val="0"/>
              <w:spacing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0.32</w:t>
            </w:r>
          </w:p>
        </w:tc>
      </w:tr>
    </w:tbl>
    <w:p w14:paraId="000000B4" w14:textId="77777777" w:rsidR="00D448A7" w:rsidRDefault="00D448A7">
      <w:pPr>
        <w:jc w:val="center"/>
        <w:rPr>
          <w:rFonts w:ascii="Times New Roman" w:eastAsia="Times New Roman" w:hAnsi="Times New Roman" w:cs="Times New Roman"/>
        </w:rPr>
      </w:pPr>
    </w:p>
    <w:p w14:paraId="000000B5" w14:textId="77777777" w:rsidR="00D448A7" w:rsidRDefault="00D448A7">
      <w:pPr>
        <w:jc w:val="both"/>
        <w:rPr>
          <w:rFonts w:ascii="Times New Roman" w:eastAsia="Times New Roman" w:hAnsi="Times New Roman" w:cs="Times New Roman"/>
          <w:sz w:val="24"/>
          <w:szCs w:val="24"/>
        </w:rPr>
      </w:pPr>
    </w:p>
    <w:p w14:paraId="000000B6" w14:textId="77777777" w:rsidR="00D448A7" w:rsidRDefault="00D448A7">
      <w:pPr>
        <w:rPr>
          <w:rFonts w:ascii="Times New Roman" w:eastAsia="Times New Roman" w:hAnsi="Times New Roman" w:cs="Times New Roman"/>
          <w:sz w:val="24"/>
          <w:szCs w:val="24"/>
        </w:rPr>
      </w:pPr>
    </w:p>
    <w:p w14:paraId="000000B7" w14:textId="77777777" w:rsidR="00D448A7" w:rsidRDefault="00D448A7">
      <w:pPr>
        <w:rPr>
          <w:rFonts w:ascii="Times New Roman" w:eastAsia="Times New Roman" w:hAnsi="Times New Roman" w:cs="Times New Roman"/>
          <w:sz w:val="24"/>
          <w:szCs w:val="24"/>
        </w:rPr>
      </w:pPr>
    </w:p>
    <w:p w14:paraId="000000B8" w14:textId="77777777" w:rsidR="00D448A7" w:rsidRDefault="00D448A7">
      <w:pPr>
        <w:rPr>
          <w:rFonts w:ascii="Times New Roman" w:eastAsia="Times New Roman" w:hAnsi="Times New Roman" w:cs="Times New Roman"/>
          <w:sz w:val="24"/>
          <w:szCs w:val="24"/>
        </w:rPr>
      </w:pPr>
    </w:p>
    <w:p w14:paraId="000000B9" w14:textId="77777777" w:rsidR="00D448A7" w:rsidRDefault="00D448A7">
      <w:pPr>
        <w:rPr>
          <w:rFonts w:ascii="Times New Roman" w:eastAsia="Times New Roman" w:hAnsi="Times New Roman" w:cs="Times New Roman"/>
          <w:sz w:val="24"/>
          <w:szCs w:val="24"/>
        </w:rPr>
      </w:pPr>
    </w:p>
    <w:p w14:paraId="000000BA" w14:textId="77777777" w:rsidR="00D448A7" w:rsidRDefault="00D448A7">
      <w:pPr>
        <w:rPr>
          <w:rFonts w:ascii="Times New Roman" w:eastAsia="Times New Roman" w:hAnsi="Times New Roman" w:cs="Times New Roman"/>
          <w:sz w:val="24"/>
          <w:szCs w:val="24"/>
        </w:rPr>
      </w:pPr>
    </w:p>
    <w:sectPr w:rsidR="00D448A7">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3E207" w14:textId="77777777" w:rsidR="00E03D14" w:rsidRDefault="00E03D14">
      <w:pPr>
        <w:spacing w:line="240" w:lineRule="auto"/>
      </w:pPr>
      <w:r>
        <w:separator/>
      </w:r>
    </w:p>
  </w:endnote>
  <w:endnote w:type="continuationSeparator" w:id="0">
    <w:p w14:paraId="400B4C65" w14:textId="77777777" w:rsidR="00E03D14" w:rsidRDefault="00E03D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B" w14:textId="34E2686A" w:rsidR="00D448A7" w:rsidRDefault="00E03D1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5286A">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6699E" w14:textId="77777777" w:rsidR="00E03D14" w:rsidRDefault="00E03D14">
      <w:pPr>
        <w:spacing w:line="240" w:lineRule="auto"/>
      </w:pPr>
      <w:r>
        <w:separator/>
      </w:r>
    </w:p>
  </w:footnote>
  <w:footnote w:type="continuationSeparator" w:id="0">
    <w:p w14:paraId="1E16C6D7" w14:textId="77777777" w:rsidR="00E03D14" w:rsidRDefault="00E03D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8A7"/>
    <w:rsid w:val="0065286A"/>
    <w:rsid w:val="00D448A7"/>
    <w:rsid w:val="00E03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868CA"/>
  <w15:docId w15:val="{797EE45D-050A-4753-9974-901CBBDC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Emilia</cp:lastModifiedBy>
  <cp:revision>2</cp:revision>
  <dcterms:created xsi:type="dcterms:W3CDTF">2021-08-27T08:24:00Z</dcterms:created>
  <dcterms:modified xsi:type="dcterms:W3CDTF">2021-08-27T08:26:00Z</dcterms:modified>
</cp:coreProperties>
</file>