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0A87" w14:textId="77777777" w:rsidR="00D77912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A18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</w:p>
    <w:p w14:paraId="37799038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9E9081" w14:textId="77777777" w:rsidR="00D77912" w:rsidRPr="00CA2A18" w:rsidRDefault="00D77912" w:rsidP="00D77912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A1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559360F9" wp14:editId="11FC1490">
            <wp:extent cx="5781675" cy="1552575"/>
            <wp:effectExtent l="0" t="0" r="0" b="0"/>
            <wp:docPr id="1" name="image4.png" descr="A picture containing indoor, computer, table, blac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1A8EBC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2A18">
        <w:rPr>
          <w:rFonts w:ascii="Times New Roman" w:eastAsia="Gungsuh" w:hAnsi="Times New Roman" w:cs="Times New Roman"/>
          <w:b/>
          <w:sz w:val="24"/>
          <w:szCs w:val="24"/>
        </w:rPr>
        <w:t>Figure S1. The Sanger sequence of the PCR product from ∆</w:t>
      </w:r>
      <w:proofErr w:type="spellStart"/>
      <w:r w:rsidRPr="00CA2A18">
        <w:rPr>
          <w:rFonts w:ascii="Times New Roman" w:eastAsia="Times New Roman" w:hAnsi="Times New Roman" w:cs="Times New Roman"/>
          <w:b/>
          <w:i/>
          <w:sz w:val="24"/>
          <w:szCs w:val="24"/>
        </w:rPr>
        <w:t>rpoS</w:t>
      </w:r>
      <w:proofErr w:type="spellEnd"/>
      <w:r w:rsidRPr="00CA2A18">
        <w:rPr>
          <w:rFonts w:ascii="Times New Roman" w:eastAsia="Times New Roman" w:hAnsi="Times New Roman" w:cs="Times New Roman"/>
          <w:b/>
          <w:sz w:val="24"/>
          <w:szCs w:val="24"/>
        </w:rPr>
        <w:t xml:space="preserve"> strain confirms kanamycin cassette removal.</w:t>
      </w:r>
      <w:r w:rsidRPr="00CA2A18">
        <w:rPr>
          <w:rFonts w:ascii="Times New Roman" w:eastAsia="Times New Roman" w:hAnsi="Times New Roman" w:cs="Times New Roman"/>
          <w:sz w:val="24"/>
          <w:szCs w:val="24"/>
        </w:rPr>
        <w:t xml:space="preserve"> The parts of the nucleotide sequence highlighted in blue are regions that matched up with the WT </w:t>
      </w:r>
      <w:proofErr w:type="spellStart"/>
      <w:r w:rsidRPr="00CA2A18">
        <w:rPr>
          <w:rFonts w:ascii="Times New Roman" w:eastAsia="Times New Roman" w:hAnsi="Times New Roman" w:cs="Times New Roman"/>
          <w:i/>
          <w:sz w:val="24"/>
          <w:szCs w:val="24"/>
        </w:rPr>
        <w:t>rpoS</w:t>
      </w:r>
      <w:proofErr w:type="spellEnd"/>
      <w:r w:rsidRPr="00CA2A18">
        <w:rPr>
          <w:rFonts w:ascii="Times New Roman" w:eastAsia="Times New Roman" w:hAnsi="Times New Roman" w:cs="Times New Roman"/>
          <w:sz w:val="24"/>
          <w:szCs w:val="24"/>
        </w:rPr>
        <w:t xml:space="preserve"> gene. The sequence highlighted in yellow is the FRT</w:t>
      </w:r>
      <w:r w:rsidRPr="00CA2A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(FLP recognition target) </w:t>
      </w:r>
      <w:r w:rsidRPr="00CA2A18">
        <w:rPr>
          <w:rFonts w:ascii="Times New Roman" w:eastAsia="Times New Roman" w:hAnsi="Times New Roman" w:cs="Times New Roman"/>
          <w:sz w:val="24"/>
          <w:szCs w:val="24"/>
        </w:rPr>
        <w:t xml:space="preserve">sequence and the purple regions are the flanking region of FRT. Together with the flanking region, the FRT creates a scar sequence. Based on the sequence alignment, the kanamycin cassette was confirmed to be removed, leaving a non-functional </w:t>
      </w:r>
      <w:proofErr w:type="spellStart"/>
      <w:r w:rsidRPr="00CA2A18">
        <w:rPr>
          <w:rFonts w:ascii="Times New Roman" w:eastAsia="Times New Roman" w:hAnsi="Times New Roman" w:cs="Times New Roman"/>
          <w:i/>
          <w:sz w:val="24"/>
          <w:szCs w:val="24"/>
        </w:rPr>
        <w:t>rpoS</w:t>
      </w:r>
      <w:proofErr w:type="spellEnd"/>
      <w:r w:rsidRPr="00CA2A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2A18">
        <w:rPr>
          <w:rFonts w:ascii="Times New Roman" w:eastAsia="Times New Roman" w:hAnsi="Times New Roman" w:cs="Times New Roman"/>
          <w:sz w:val="24"/>
          <w:szCs w:val="24"/>
        </w:rPr>
        <w:t>gene.</w:t>
      </w:r>
    </w:p>
    <w:p w14:paraId="30E2B563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5570CF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D56082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E4349F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C35FA0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3848E1" w14:textId="77777777" w:rsidR="00D77912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0B72F" w14:textId="77777777" w:rsidR="00D77912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903893" w14:textId="77777777" w:rsidR="00D77912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D74993" w14:textId="77777777" w:rsidR="00D77912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E7500" w14:textId="77777777" w:rsidR="00D77912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B70B8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2A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S1. The T7 phage stock concentration is determined using double agar overlay and plaque count. </w:t>
      </w:r>
    </w:p>
    <w:tbl>
      <w:tblPr>
        <w:tblW w:w="102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1005"/>
        <w:gridCol w:w="1095"/>
        <w:gridCol w:w="1282"/>
        <w:gridCol w:w="1984"/>
        <w:gridCol w:w="3739"/>
      </w:tblGrid>
      <w:tr w:rsidR="00D77912" w:rsidRPr="00CA2A18" w14:paraId="6DCEA17A" w14:textId="77777777" w:rsidTr="00D8550C">
        <w:trPr>
          <w:trHeight w:val="1160"/>
        </w:trPr>
        <w:tc>
          <w:tcPr>
            <w:tcW w:w="1155" w:type="dxa"/>
          </w:tcPr>
          <w:p w14:paraId="3F301604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Dilution Plated </w:t>
            </w:r>
          </w:p>
        </w:tc>
        <w:tc>
          <w:tcPr>
            <w:tcW w:w="1005" w:type="dxa"/>
          </w:tcPr>
          <w:p w14:paraId="32C962C2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Replicate </w:t>
            </w:r>
          </w:p>
        </w:tc>
        <w:tc>
          <w:tcPr>
            <w:tcW w:w="1095" w:type="dxa"/>
          </w:tcPr>
          <w:p w14:paraId="72DE7501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Volume of Dilution Plated</w:t>
            </w:r>
          </w:p>
        </w:tc>
        <w:tc>
          <w:tcPr>
            <w:tcW w:w="1282" w:type="dxa"/>
          </w:tcPr>
          <w:p w14:paraId="5B3BA0F8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Plaque count</w:t>
            </w:r>
          </w:p>
        </w:tc>
        <w:tc>
          <w:tcPr>
            <w:tcW w:w="1984" w:type="dxa"/>
          </w:tcPr>
          <w:p w14:paraId="199B42CE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plaque/mL diluted T7 solution</w:t>
            </w:r>
          </w:p>
        </w:tc>
        <w:tc>
          <w:tcPr>
            <w:tcW w:w="3739" w:type="dxa"/>
          </w:tcPr>
          <w:p w14:paraId="745EA436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 Number of T7 phage/mL stock solution</w:t>
            </w:r>
          </w:p>
        </w:tc>
      </w:tr>
      <w:tr w:rsidR="00D77912" w:rsidRPr="00CA2A18" w14:paraId="2C109079" w14:textId="77777777" w:rsidTr="00D8550C">
        <w:trPr>
          <w:trHeight w:val="280"/>
        </w:trPr>
        <w:tc>
          <w:tcPr>
            <w:tcW w:w="1155" w:type="dxa"/>
            <w:vMerge w:val="restart"/>
          </w:tcPr>
          <w:p w14:paraId="2B15BAE2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005" w:type="dxa"/>
          </w:tcPr>
          <w:p w14:paraId="7BAF49CA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Merge w:val="restart"/>
          </w:tcPr>
          <w:p w14:paraId="0EAEB47C" w14:textId="77777777" w:rsidR="00D77912" w:rsidRPr="00CA2A18" w:rsidRDefault="00D77912" w:rsidP="00D8550C">
            <w:pPr>
              <w:spacing w:before="20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 mL</w:t>
            </w:r>
          </w:p>
        </w:tc>
        <w:tc>
          <w:tcPr>
            <w:tcW w:w="1282" w:type="dxa"/>
          </w:tcPr>
          <w:p w14:paraId="5F4EB450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TNTC</w:t>
            </w:r>
          </w:p>
        </w:tc>
        <w:tc>
          <w:tcPr>
            <w:tcW w:w="1984" w:type="dxa"/>
          </w:tcPr>
          <w:p w14:paraId="696854E6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739" w:type="dxa"/>
            <w:vMerge w:val="restart"/>
          </w:tcPr>
          <w:p w14:paraId="628DF4B6" w14:textId="77777777" w:rsidR="00D77912" w:rsidRPr="00CA2A18" w:rsidRDefault="00D77912" w:rsidP="00D8550C">
            <w:pPr>
              <w:spacing w:before="20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Cardo" w:hAnsi="Times New Roman" w:cs="Times New Roman"/>
                <w:sz w:val="24"/>
                <w:szCs w:val="24"/>
              </w:rPr>
              <w:t xml:space="preserve">→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(1.0 ×1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)+(1.3 ×1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)+(1.3 ×1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)+(1.0 ×1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) =1.036×1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12</m:t>
                  </m:r>
                </m:sup>
              </m:sSup>
            </m:oMath>
          </w:p>
          <w:p w14:paraId="7AF1DF4D" w14:textId="77777777" w:rsidR="00D77912" w:rsidRPr="00CA2A18" w:rsidRDefault="00D77912" w:rsidP="00D8550C">
            <w:pPr>
              <w:spacing w:before="20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Cardo" w:hAnsi="Times New Roman" w:cs="Times New Roman"/>
                <w:sz w:val="24"/>
                <w:szCs w:val="24"/>
              </w:rPr>
              <w:t xml:space="preserve">→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(1.036×1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)/4 = 2.59×1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</m:oMath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plaque/mL</w:t>
            </w:r>
          </w:p>
        </w:tc>
      </w:tr>
      <w:tr w:rsidR="00D77912" w:rsidRPr="00CA2A18" w14:paraId="40231DDE" w14:textId="77777777" w:rsidTr="00D8550C">
        <w:trPr>
          <w:trHeight w:val="140"/>
        </w:trPr>
        <w:tc>
          <w:tcPr>
            <w:tcW w:w="1155" w:type="dxa"/>
            <w:vMerge/>
          </w:tcPr>
          <w:p w14:paraId="12834368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0BDB144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vMerge/>
          </w:tcPr>
          <w:p w14:paraId="1846584B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DB5FFE0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TNTC</w:t>
            </w:r>
          </w:p>
        </w:tc>
        <w:tc>
          <w:tcPr>
            <w:tcW w:w="1984" w:type="dxa"/>
          </w:tcPr>
          <w:p w14:paraId="2A260AEB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739" w:type="dxa"/>
            <w:vMerge/>
          </w:tcPr>
          <w:p w14:paraId="107DAB59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912" w:rsidRPr="00CA2A18" w14:paraId="35F9C89D" w14:textId="77777777" w:rsidTr="00D8550C">
        <w:trPr>
          <w:trHeight w:val="140"/>
        </w:trPr>
        <w:tc>
          <w:tcPr>
            <w:tcW w:w="1155" w:type="dxa"/>
            <w:vMerge/>
          </w:tcPr>
          <w:p w14:paraId="1E3DB1C1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3FD9065D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vMerge/>
          </w:tcPr>
          <w:p w14:paraId="03D6020B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41914D2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TNTC</w:t>
            </w:r>
          </w:p>
        </w:tc>
        <w:tc>
          <w:tcPr>
            <w:tcW w:w="1984" w:type="dxa"/>
          </w:tcPr>
          <w:p w14:paraId="1140984E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739" w:type="dxa"/>
            <w:vMerge/>
          </w:tcPr>
          <w:p w14:paraId="761F9DE8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912" w:rsidRPr="00CA2A18" w14:paraId="5F05E4E2" w14:textId="77777777" w:rsidTr="00D8550C">
        <w:trPr>
          <w:trHeight w:val="280"/>
        </w:trPr>
        <w:tc>
          <w:tcPr>
            <w:tcW w:w="1155" w:type="dxa"/>
            <w:vMerge w:val="restart"/>
          </w:tcPr>
          <w:p w14:paraId="4A920846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005" w:type="dxa"/>
          </w:tcPr>
          <w:p w14:paraId="5F544C14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Merge/>
          </w:tcPr>
          <w:p w14:paraId="3FF795A0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833E65B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1A18F2A0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1.0 x 10</w:t>
            </w: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39" w:type="dxa"/>
            <w:vMerge/>
          </w:tcPr>
          <w:p w14:paraId="4A209521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912" w:rsidRPr="00CA2A18" w14:paraId="3C4093E1" w14:textId="77777777" w:rsidTr="00D8550C">
        <w:trPr>
          <w:trHeight w:val="140"/>
        </w:trPr>
        <w:tc>
          <w:tcPr>
            <w:tcW w:w="1155" w:type="dxa"/>
            <w:vMerge/>
          </w:tcPr>
          <w:p w14:paraId="002AA066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7E582AEA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vMerge/>
          </w:tcPr>
          <w:p w14:paraId="17734640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C5AD50D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03AC185C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1.3 x 10</w:t>
            </w: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39" w:type="dxa"/>
            <w:vMerge/>
          </w:tcPr>
          <w:p w14:paraId="7C2F4395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912" w:rsidRPr="00CA2A18" w14:paraId="379C89C2" w14:textId="77777777" w:rsidTr="00D8550C">
        <w:trPr>
          <w:trHeight w:val="280"/>
        </w:trPr>
        <w:tc>
          <w:tcPr>
            <w:tcW w:w="1155" w:type="dxa"/>
            <w:vMerge/>
          </w:tcPr>
          <w:p w14:paraId="1475F62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C721B94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vMerge/>
          </w:tcPr>
          <w:p w14:paraId="1098C09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F20B000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340CDFB8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1.3 x 10</w:t>
            </w: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39" w:type="dxa"/>
            <w:vMerge/>
          </w:tcPr>
          <w:p w14:paraId="6CEF6903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912" w:rsidRPr="00CA2A18" w14:paraId="7E7B85A1" w14:textId="77777777" w:rsidTr="00D8550C">
        <w:trPr>
          <w:trHeight w:val="280"/>
        </w:trPr>
        <w:tc>
          <w:tcPr>
            <w:tcW w:w="1155" w:type="dxa"/>
            <w:vMerge w:val="restart"/>
          </w:tcPr>
          <w:p w14:paraId="0B5DA016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005" w:type="dxa"/>
          </w:tcPr>
          <w:p w14:paraId="21D31FD8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Merge/>
          </w:tcPr>
          <w:p w14:paraId="3B796F9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CBBEB8C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04829F6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1.0 x 10</w:t>
            </w: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3739" w:type="dxa"/>
            <w:vMerge/>
          </w:tcPr>
          <w:p w14:paraId="3B7E7C83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912" w:rsidRPr="00CA2A18" w14:paraId="35318B17" w14:textId="77777777" w:rsidTr="00D8550C">
        <w:trPr>
          <w:trHeight w:val="140"/>
        </w:trPr>
        <w:tc>
          <w:tcPr>
            <w:tcW w:w="1155" w:type="dxa"/>
            <w:vMerge/>
          </w:tcPr>
          <w:p w14:paraId="63C25BBC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32462B04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vMerge/>
          </w:tcPr>
          <w:p w14:paraId="48ED0BA0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8E3C46D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4F3787D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9" w:type="dxa"/>
            <w:vMerge/>
          </w:tcPr>
          <w:p w14:paraId="6B624D0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912" w:rsidRPr="00CA2A18" w14:paraId="183D5444" w14:textId="77777777" w:rsidTr="00D8550C">
        <w:trPr>
          <w:trHeight w:val="140"/>
        </w:trPr>
        <w:tc>
          <w:tcPr>
            <w:tcW w:w="1155" w:type="dxa"/>
            <w:vMerge/>
          </w:tcPr>
          <w:p w14:paraId="48B1B5EA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649CB390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vMerge/>
          </w:tcPr>
          <w:p w14:paraId="6AA1882E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1F249FE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70D63B9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9" w:type="dxa"/>
            <w:vMerge/>
          </w:tcPr>
          <w:p w14:paraId="37B790DE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912" w:rsidRPr="00CA2A18" w14:paraId="70246592" w14:textId="77777777" w:rsidTr="00D8550C">
        <w:trPr>
          <w:trHeight w:val="240"/>
        </w:trPr>
        <w:tc>
          <w:tcPr>
            <w:tcW w:w="1155" w:type="dxa"/>
            <w:vMerge w:val="restart"/>
          </w:tcPr>
          <w:p w14:paraId="03D6705A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005" w:type="dxa"/>
          </w:tcPr>
          <w:p w14:paraId="54A0D049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Merge/>
          </w:tcPr>
          <w:p w14:paraId="38636513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8295A99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5859179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9" w:type="dxa"/>
            <w:vMerge/>
          </w:tcPr>
          <w:p w14:paraId="302AAC65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912" w:rsidRPr="00CA2A18" w14:paraId="624ECFD0" w14:textId="77777777" w:rsidTr="00D8550C">
        <w:trPr>
          <w:trHeight w:val="240"/>
        </w:trPr>
        <w:tc>
          <w:tcPr>
            <w:tcW w:w="1155" w:type="dxa"/>
            <w:vMerge/>
          </w:tcPr>
          <w:p w14:paraId="3F598BCC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6954F164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vMerge/>
          </w:tcPr>
          <w:p w14:paraId="7ABD72D3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0EAFF43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24F9BDB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9" w:type="dxa"/>
            <w:vMerge/>
          </w:tcPr>
          <w:p w14:paraId="231B1DB1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912" w:rsidRPr="00CA2A18" w14:paraId="7FA91959" w14:textId="77777777" w:rsidTr="00D8550C">
        <w:trPr>
          <w:trHeight w:val="240"/>
        </w:trPr>
        <w:tc>
          <w:tcPr>
            <w:tcW w:w="1155" w:type="dxa"/>
            <w:vMerge/>
          </w:tcPr>
          <w:p w14:paraId="0487477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4CD5F18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vMerge/>
          </w:tcPr>
          <w:p w14:paraId="65C604C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8B1C65D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713E4F4" w14:textId="77777777" w:rsidR="00D77912" w:rsidRPr="00CA2A18" w:rsidRDefault="00D77912" w:rsidP="00D8550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9" w:type="dxa"/>
            <w:vMerge/>
          </w:tcPr>
          <w:p w14:paraId="3143588E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3E5C67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6B92A5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57265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27E35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09849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2A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S2. The dilution scheme for various different T7 phage concentration used for each treatment in the lysis curve assay </w:t>
      </w: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410"/>
        <w:gridCol w:w="1320"/>
        <w:gridCol w:w="1425"/>
        <w:gridCol w:w="1335"/>
      </w:tblGrid>
      <w:tr w:rsidR="00D77912" w:rsidRPr="00CA2A18" w14:paraId="59567127" w14:textId="77777777" w:rsidTr="00D8550C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0AFA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[T7 phage]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(T7 phage/mL)</m:t>
              </m:r>
            </m:oMath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E660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3.6×1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A446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7.2×1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027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2.16×1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9FA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4.32×1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</m:oMath>
            </m:oMathPara>
          </w:p>
        </w:tc>
      </w:tr>
      <w:tr w:rsidR="00D77912" w:rsidRPr="00CA2A18" w14:paraId="0A2A877F" w14:textId="77777777" w:rsidTr="00D8550C">
        <w:trPr>
          <w:trHeight w:val="760"/>
        </w:trPr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DACE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Amount of diluted T7 phage solution (µL)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FF49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3CF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47A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2C48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7912" w:rsidRPr="00CA2A18" w14:paraId="67F565A3" w14:textId="77777777" w:rsidTr="00D8550C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D59A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Amount of LB media (µL)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2CD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2146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6D39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E1AD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14:paraId="4C491C78" w14:textId="77777777" w:rsidR="00D77912" w:rsidRPr="00CA2A18" w:rsidRDefault="00D77912" w:rsidP="00D77912">
      <w:pPr>
        <w:spacing w:before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2A18">
        <w:rPr>
          <w:rFonts w:ascii="Times New Roman" w:eastAsia="Times New Roman" w:hAnsi="Times New Roman" w:cs="Times New Roman"/>
          <w:sz w:val="24"/>
          <w:szCs w:val="24"/>
        </w:rPr>
        <w:t xml:space="preserve">** Perform 1:100-fold dilution on the original T7 phage stock solution before proceeding to dilute the T7 phage using this scheme </w:t>
      </w:r>
    </w:p>
    <w:p w14:paraId="2BD603E8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60ACBA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CF466B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CD5176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BAE67F" w14:textId="77777777" w:rsidR="00D77912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296CAE" w14:textId="77777777" w:rsidR="00D77912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B212E" w14:textId="77777777" w:rsidR="00D77912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74D6FA" w14:textId="77777777" w:rsidR="00D77912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7F290" w14:textId="77777777" w:rsidR="00D77912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D14B91" w14:textId="77777777" w:rsidR="00D77912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CB791" w14:textId="77777777" w:rsidR="00D77912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B10DE" w14:textId="77777777" w:rsidR="00D77912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2CA4C" w14:textId="77777777" w:rsidR="00D77912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7A18C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2A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S3. The loading scheme for samples in all treatments onto 96-well plate for the phage lysis curve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77912" w:rsidRPr="00CA2A18" w14:paraId="25741B17" w14:textId="77777777" w:rsidTr="00D8550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4CD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3A1A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F68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4EEA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57DA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0EF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686D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09D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759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24C9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0C90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A61C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6A0B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7912" w:rsidRPr="00CA2A18" w14:paraId="5DDA9FE5" w14:textId="77777777" w:rsidTr="00D8550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F4D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610E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094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2B80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B75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AA9B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AFC9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83B2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F6B1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B28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B0CC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4E1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82D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D77912" w:rsidRPr="00CA2A18" w14:paraId="0214A62A" w14:textId="77777777" w:rsidTr="00D8550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E9D6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81D2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2F4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966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BE92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8FA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BE62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66BE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66F9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1575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E96C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8563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06CD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D77912" w:rsidRPr="00CA2A18" w14:paraId="147F96E8" w14:textId="77777777" w:rsidTr="00D8550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5BDE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3FD8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3D79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3C79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CEEB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C280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53AA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45D9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77CD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CD1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A81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930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CD8E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D77912" w:rsidRPr="00CA2A18" w14:paraId="0117163C" w14:textId="77777777" w:rsidTr="00D8550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FF58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D498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AE5A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17216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8318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0609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6AB3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A3049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69DE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1B2D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69A8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49D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A7F5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D77912" w:rsidRPr="00CA2A18" w14:paraId="79017617" w14:textId="77777777" w:rsidTr="00D8550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A00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5C5A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ECA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4AD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C5F0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6BFD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C703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B2E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289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7562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EC40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F6D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7AA9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D77912" w:rsidRPr="00CA2A18" w14:paraId="70CCB80D" w14:textId="77777777" w:rsidTr="00D8550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423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4852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5F08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AFD2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ACC8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55EA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CE82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20F3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EE4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12FB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0F8E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BBC3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075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D77912" w:rsidRPr="00CA2A18" w14:paraId="46273DEC" w14:textId="77777777" w:rsidTr="00D8550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C45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C33A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5385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1226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06C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0638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7612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87AD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CA7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2B0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6A90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C093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8BF7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D77912" w:rsidRPr="00CA2A18" w14:paraId="1682D806" w14:textId="77777777" w:rsidTr="00D8550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739A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D83A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F785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89FA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FB70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B35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1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8DD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08E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89AB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64F3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939F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1054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50FD" w14:textId="77777777" w:rsidR="00D77912" w:rsidRPr="00CA2A18" w:rsidRDefault="00D77912" w:rsidP="00D8550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A6170D" w14:textId="77777777" w:rsidR="00D77912" w:rsidRPr="00CA2A18" w:rsidRDefault="00D77912" w:rsidP="00D77912">
      <w:pPr>
        <w:spacing w:before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2A18">
        <w:rPr>
          <w:rFonts w:ascii="Times New Roman" w:eastAsia="Times New Roman" w:hAnsi="Times New Roman" w:cs="Times New Roman"/>
          <w:sz w:val="24"/>
          <w:szCs w:val="24"/>
        </w:rPr>
        <w:t xml:space="preserve">*** The types of cells loaded into each well is labelled using </w:t>
      </w:r>
      <w:proofErr w:type="spellStart"/>
      <w:r w:rsidRPr="00CA2A18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CA2A18">
        <w:rPr>
          <w:rFonts w:ascii="Times New Roman" w:eastAsia="Times New Roman" w:hAnsi="Times New Roman" w:cs="Times New Roman"/>
          <w:sz w:val="24"/>
          <w:szCs w:val="24"/>
        </w:rPr>
        <w:t xml:space="preserve"> of the well</w:t>
      </w:r>
    </w:p>
    <w:p w14:paraId="62CF2264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2A18">
        <w:rPr>
          <w:rFonts w:ascii="Times New Roman" w:eastAsia="Times New Roman" w:hAnsi="Times New Roman" w:cs="Times New Roman"/>
          <w:sz w:val="24"/>
          <w:szCs w:val="24"/>
        </w:rPr>
        <w:t>*** 0.05 and 0.1 is indicating the MOI of the T7 phage to cells in the wells</w:t>
      </w:r>
    </w:p>
    <w:p w14:paraId="3F6739E8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2A18">
        <w:rPr>
          <w:rFonts w:ascii="Times New Roman" w:eastAsia="Times New Roman" w:hAnsi="Times New Roman" w:cs="Times New Roman"/>
          <w:sz w:val="24"/>
          <w:szCs w:val="24"/>
        </w:rPr>
        <w:t>*** LB means that the well is loaded with sterile LB and is used as blank</w:t>
      </w:r>
    </w:p>
    <w:p w14:paraId="7625627A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3FE36D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2A18">
        <w:rPr>
          <w:rFonts w:ascii="Times New Roman" w:eastAsia="Times New Roman" w:hAnsi="Times New Roman" w:cs="Times New Roman"/>
          <w:sz w:val="24"/>
          <w:szCs w:val="24"/>
        </w:rPr>
        <w:t>Red = WT in exponential phase</w:t>
      </w:r>
    </w:p>
    <w:p w14:paraId="15047EE1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2A18">
        <w:rPr>
          <w:rFonts w:ascii="Times New Roman" w:eastAsia="Times New Roman" w:hAnsi="Times New Roman" w:cs="Times New Roman"/>
          <w:sz w:val="24"/>
          <w:szCs w:val="24"/>
        </w:rPr>
        <w:t>Blue =</w:t>
      </w:r>
      <w:r w:rsidRPr="00CA2A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2A18">
        <w:rPr>
          <w:rFonts w:ascii="Times New Roman" w:eastAsia="Times New Roman" w:hAnsi="Times New Roman" w:cs="Times New Roman"/>
          <w:sz w:val="24"/>
          <w:szCs w:val="24"/>
        </w:rPr>
        <w:t>WT in stationary phase</w:t>
      </w:r>
    </w:p>
    <w:p w14:paraId="68842CA4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2A18">
        <w:rPr>
          <w:rFonts w:ascii="Times New Roman" w:eastAsia="Times New Roman" w:hAnsi="Times New Roman" w:cs="Times New Roman"/>
          <w:sz w:val="24"/>
          <w:szCs w:val="24"/>
        </w:rPr>
        <w:t xml:space="preserve">Green = </w:t>
      </w:r>
      <w:r w:rsidRPr="00CA2A18">
        <w:rPr>
          <w:rFonts w:ascii="Times New Roman" w:eastAsia="Gungsuh" w:hAnsi="Times New Roman" w:cs="Times New Roman"/>
          <w:sz w:val="24"/>
          <w:szCs w:val="24"/>
        </w:rPr>
        <w:t>∆</w:t>
      </w:r>
      <w:proofErr w:type="spellStart"/>
      <w:r w:rsidRPr="00CA2A18">
        <w:rPr>
          <w:rFonts w:ascii="Times New Roman" w:eastAsia="Times New Roman" w:hAnsi="Times New Roman" w:cs="Times New Roman"/>
          <w:i/>
          <w:sz w:val="24"/>
          <w:szCs w:val="24"/>
        </w:rPr>
        <w:t>rpoS</w:t>
      </w:r>
      <w:proofErr w:type="spellEnd"/>
      <w:r w:rsidRPr="00CA2A18">
        <w:rPr>
          <w:rFonts w:ascii="Times New Roman" w:eastAsia="Times New Roman" w:hAnsi="Times New Roman" w:cs="Times New Roman"/>
          <w:sz w:val="24"/>
          <w:szCs w:val="24"/>
        </w:rPr>
        <w:t xml:space="preserve"> strain in exponential phase</w:t>
      </w:r>
    </w:p>
    <w:p w14:paraId="31B1848B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2A18">
        <w:rPr>
          <w:rFonts w:ascii="Times New Roman" w:eastAsia="Times New Roman" w:hAnsi="Times New Roman" w:cs="Times New Roman"/>
          <w:sz w:val="24"/>
          <w:szCs w:val="24"/>
        </w:rPr>
        <w:t xml:space="preserve">Yellow = </w:t>
      </w:r>
      <w:r w:rsidRPr="00CA2A18">
        <w:rPr>
          <w:rFonts w:ascii="Times New Roman" w:eastAsia="Gungsuh" w:hAnsi="Times New Roman" w:cs="Times New Roman"/>
          <w:sz w:val="24"/>
          <w:szCs w:val="24"/>
        </w:rPr>
        <w:t>∆</w:t>
      </w:r>
      <w:proofErr w:type="spellStart"/>
      <w:r w:rsidRPr="00CA2A18">
        <w:rPr>
          <w:rFonts w:ascii="Times New Roman" w:eastAsia="Times New Roman" w:hAnsi="Times New Roman" w:cs="Times New Roman"/>
          <w:i/>
          <w:sz w:val="24"/>
          <w:szCs w:val="24"/>
        </w:rPr>
        <w:t>rpoS</w:t>
      </w:r>
      <w:proofErr w:type="spellEnd"/>
      <w:r w:rsidRPr="00CA2A18">
        <w:rPr>
          <w:rFonts w:ascii="Times New Roman" w:eastAsia="Times New Roman" w:hAnsi="Times New Roman" w:cs="Times New Roman"/>
          <w:sz w:val="24"/>
          <w:szCs w:val="24"/>
        </w:rPr>
        <w:t xml:space="preserve"> strain in stationary phase</w:t>
      </w:r>
    </w:p>
    <w:p w14:paraId="023690BB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B0D4F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A18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114300" distB="114300" distL="114300" distR="114300" wp14:anchorId="0EADA591" wp14:editId="36B56991">
            <wp:extent cx="5943600" cy="3670300"/>
            <wp:effectExtent l="0" t="0" r="0" b="0"/>
            <wp:docPr id="3" name="image6.png" descr="A close up of a 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1A4C17" w14:textId="77777777" w:rsidR="00D77912" w:rsidRPr="00CA2A18" w:rsidRDefault="00D77912" w:rsidP="00D7791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2A18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S2. Up-regulation of </w:t>
      </w:r>
      <w:proofErr w:type="spellStart"/>
      <w:r w:rsidRPr="00CA2A18">
        <w:rPr>
          <w:rFonts w:ascii="Times New Roman" w:eastAsia="Times New Roman" w:hAnsi="Times New Roman" w:cs="Times New Roman"/>
          <w:b/>
          <w:i/>
          <w:sz w:val="24"/>
          <w:szCs w:val="24"/>
        </w:rPr>
        <w:t>rpoS</w:t>
      </w:r>
      <w:proofErr w:type="spellEnd"/>
      <w:r w:rsidRPr="00CA2A18">
        <w:rPr>
          <w:rFonts w:ascii="Times New Roman" w:eastAsia="Times New Roman" w:hAnsi="Times New Roman" w:cs="Times New Roman"/>
          <w:b/>
          <w:sz w:val="24"/>
          <w:szCs w:val="24"/>
        </w:rPr>
        <w:t xml:space="preserve"> in the stationary phase results in delay in T7 phage lysis. </w:t>
      </w:r>
      <w:r w:rsidRPr="00CA2A18">
        <w:rPr>
          <w:rFonts w:ascii="Times New Roman" w:eastAsia="Times New Roman" w:hAnsi="Times New Roman" w:cs="Times New Roman"/>
          <w:sz w:val="24"/>
          <w:szCs w:val="24"/>
        </w:rPr>
        <w:t xml:space="preserve">The T7 phage lysis growth curve shows that stationary phase cells have delay in T7 phage lysis compared to the cells in exponential phase. The </w:t>
      </w:r>
      <w:proofErr w:type="spellStart"/>
      <w:r w:rsidRPr="00CA2A18">
        <w:rPr>
          <w:rFonts w:ascii="Times New Roman" w:eastAsia="Times New Roman" w:hAnsi="Times New Roman" w:cs="Times New Roman"/>
          <w:i/>
          <w:sz w:val="24"/>
          <w:szCs w:val="24"/>
        </w:rPr>
        <w:t>rpoS</w:t>
      </w:r>
      <w:proofErr w:type="spellEnd"/>
      <w:r w:rsidRPr="00CA2A18">
        <w:rPr>
          <w:rFonts w:ascii="Times New Roman" w:eastAsia="Times New Roman" w:hAnsi="Times New Roman" w:cs="Times New Roman"/>
          <w:sz w:val="24"/>
          <w:szCs w:val="24"/>
        </w:rPr>
        <w:t xml:space="preserve"> knockout strain also shows an impairment in delay lysis, which indicate the importance of </w:t>
      </w:r>
      <w:proofErr w:type="spellStart"/>
      <w:r w:rsidRPr="00CA2A18">
        <w:rPr>
          <w:rFonts w:ascii="Times New Roman" w:eastAsia="Times New Roman" w:hAnsi="Times New Roman" w:cs="Times New Roman"/>
          <w:sz w:val="24"/>
          <w:szCs w:val="24"/>
        </w:rPr>
        <w:t>RpoS</w:t>
      </w:r>
      <w:proofErr w:type="spellEnd"/>
      <w:r w:rsidRPr="00CA2A18">
        <w:rPr>
          <w:rFonts w:ascii="Times New Roman" w:eastAsia="Times New Roman" w:hAnsi="Times New Roman" w:cs="Times New Roman"/>
          <w:sz w:val="24"/>
          <w:szCs w:val="24"/>
        </w:rPr>
        <w:t xml:space="preserve"> in the cells to delay in T7 phage-induced lysis.</w:t>
      </w:r>
    </w:p>
    <w:p w14:paraId="5DE60EA0" w14:textId="77777777" w:rsidR="00D77912" w:rsidRDefault="00D77912" w:rsidP="00D77912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DCC07A2" w14:textId="77777777" w:rsidR="00D77912" w:rsidRDefault="00D77912" w:rsidP="00D77912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74DC730" w14:textId="77777777" w:rsidR="00D77912" w:rsidRDefault="00D77912" w:rsidP="00D77912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DDF6782" w14:textId="77777777" w:rsidR="00D77912" w:rsidRDefault="00D77912" w:rsidP="00D77912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E92D5CB" w14:textId="77777777" w:rsidR="00D77912" w:rsidRDefault="00D77912" w:rsidP="00D77912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220B86B" w14:textId="77777777" w:rsidR="00D77912" w:rsidRDefault="00D77912" w:rsidP="00D77912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C4FBB76" w14:textId="77777777" w:rsidR="00D77912" w:rsidRDefault="00D77912" w:rsidP="00D77912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9D7687F" w14:textId="77777777" w:rsidR="00D77912" w:rsidRDefault="00D77912" w:rsidP="00D77912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7D0A6AF" w14:textId="77777777" w:rsidR="00D77912" w:rsidRDefault="00D77912" w:rsidP="00D77912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6A309DD" w14:textId="77777777" w:rsidR="00E77F9A" w:rsidRDefault="00D77912"/>
    <w:sectPr w:rsidR="00E77F9A" w:rsidSect="00CA2A18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rdo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12"/>
    <w:rsid w:val="007B18FE"/>
    <w:rsid w:val="00D77912"/>
    <w:rsid w:val="00EF6CFC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905B6"/>
  <w15:chartTrackingRefBased/>
  <w15:docId w15:val="{ABC81BCE-2769-FE4A-8092-0901061B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1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Jingyao</dc:creator>
  <cp:keywords/>
  <dc:description/>
  <cp:lastModifiedBy>Zhu Jingyao</cp:lastModifiedBy>
  <cp:revision>1</cp:revision>
  <dcterms:created xsi:type="dcterms:W3CDTF">2020-06-03T18:41:00Z</dcterms:created>
  <dcterms:modified xsi:type="dcterms:W3CDTF">2020-06-03T18:44:00Z</dcterms:modified>
</cp:coreProperties>
</file>